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7D62" w14:textId="77777777" w:rsidR="006738F0" w:rsidRPr="00D91748" w:rsidRDefault="006738F0">
      <w:pPr>
        <w:rPr>
          <w:rFonts w:ascii="Bookman Old Style" w:hAnsi="Bookman Old Style"/>
        </w:rPr>
      </w:pPr>
      <w:r w:rsidRPr="00D91748">
        <w:rPr>
          <w:rFonts w:ascii="Bookman Old Style" w:hAnsi="Bookman Old Style"/>
        </w:rPr>
        <w:t xml:space="preserve">Honorables congresistas </w:t>
      </w:r>
    </w:p>
    <w:p w14:paraId="2F59CC9A" w14:textId="77777777" w:rsidR="006738F0" w:rsidRPr="00D91748" w:rsidRDefault="006738F0">
      <w:pPr>
        <w:rPr>
          <w:rFonts w:ascii="Bookman Old Style" w:hAnsi="Bookman Old Style"/>
          <w:b/>
        </w:rPr>
      </w:pPr>
      <w:r w:rsidRPr="00D91748">
        <w:rPr>
          <w:rFonts w:ascii="Bookman Old Style" w:hAnsi="Bookman Old Style"/>
          <w:b/>
        </w:rPr>
        <w:t xml:space="preserve">ROY LEONARDO BARRERAS MONTEALEGRE </w:t>
      </w:r>
    </w:p>
    <w:p w14:paraId="230B0C09" w14:textId="77777777" w:rsidR="006738F0" w:rsidRPr="00D91748" w:rsidRDefault="006738F0">
      <w:pPr>
        <w:rPr>
          <w:rFonts w:ascii="Bookman Old Style" w:hAnsi="Bookman Old Style"/>
        </w:rPr>
      </w:pPr>
      <w:r w:rsidRPr="00D91748">
        <w:rPr>
          <w:rFonts w:ascii="Bookman Old Style" w:hAnsi="Bookman Old Style"/>
        </w:rPr>
        <w:t xml:space="preserve">Presidente Senado de la República </w:t>
      </w:r>
    </w:p>
    <w:p w14:paraId="79D971CF" w14:textId="77777777" w:rsidR="006738F0" w:rsidRPr="00D91748" w:rsidRDefault="006738F0">
      <w:pPr>
        <w:rPr>
          <w:rFonts w:ascii="Bookman Old Style" w:hAnsi="Bookman Old Style"/>
          <w:b/>
        </w:rPr>
      </w:pPr>
      <w:r w:rsidRPr="00D91748">
        <w:rPr>
          <w:rFonts w:ascii="Bookman Old Style" w:hAnsi="Bookman Old Style"/>
          <w:b/>
        </w:rPr>
        <w:t xml:space="preserve">DAVID RICARDO RACERO MAYORCA </w:t>
      </w:r>
    </w:p>
    <w:p w14:paraId="25F00969" w14:textId="77777777" w:rsidR="006738F0" w:rsidRPr="00D91748" w:rsidRDefault="006738F0">
      <w:pPr>
        <w:rPr>
          <w:rFonts w:ascii="Bookman Old Style" w:hAnsi="Bookman Old Style"/>
        </w:rPr>
      </w:pPr>
      <w:r w:rsidRPr="00D91748">
        <w:rPr>
          <w:rFonts w:ascii="Bookman Old Style" w:hAnsi="Bookman Old Style"/>
        </w:rPr>
        <w:t xml:space="preserve">Presidente Cámara de Representantes </w:t>
      </w:r>
    </w:p>
    <w:p w14:paraId="04A5DAB0" w14:textId="77777777" w:rsidR="006738F0" w:rsidRPr="00D91748" w:rsidRDefault="006738F0">
      <w:pPr>
        <w:rPr>
          <w:rFonts w:ascii="Bookman Old Style" w:hAnsi="Bookman Old Style"/>
          <w:b/>
        </w:rPr>
      </w:pPr>
      <w:r w:rsidRPr="00D91748">
        <w:rPr>
          <w:rFonts w:ascii="Bookman Old Style" w:hAnsi="Bookman Old Style"/>
          <w:b/>
        </w:rPr>
        <w:t>Ciudad</w:t>
      </w:r>
    </w:p>
    <w:p w14:paraId="69C347BC" w14:textId="77777777" w:rsidR="006738F0" w:rsidRPr="00D91748" w:rsidRDefault="006738F0">
      <w:pPr>
        <w:rPr>
          <w:rFonts w:ascii="Bookman Old Style" w:hAnsi="Bookman Old Style"/>
        </w:rPr>
      </w:pPr>
    </w:p>
    <w:p w14:paraId="03A3E12D" w14:textId="77777777" w:rsidR="006738F0" w:rsidRPr="00D91748" w:rsidRDefault="006738F0" w:rsidP="006738F0">
      <w:pPr>
        <w:pStyle w:val="Default"/>
        <w:ind w:left="1410"/>
        <w:jc w:val="both"/>
        <w:rPr>
          <w:rFonts w:ascii="Bookman Old Style" w:hAnsi="Bookman Old Style" w:cs="Arial"/>
          <w:bCs/>
          <w:sz w:val="22"/>
          <w:szCs w:val="22"/>
        </w:rPr>
      </w:pPr>
      <w:r w:rsidRPr="00D91748">
        <w:rPr>
          <w:rFonts w:ascii="Bookman Old Style" w:hAnsi="Bookman Old Style"/>
          <w:b/>
        </w:rPr>
        <w:t>REF:</w:t>
      </w:r>
      <w:r w:rsidRPr="00D91748">
        <w:rPr>
          <w:rFonts w:ascii="Bookman Old Style" w:hAnsi="Bookman Old Style"/>
        </w:rPr>
        <w:t xml:space="preserve"> informe de conciliación al Proyecto de Acto Legislativo </w:t>
      </w:r>
      <w:r w:rsidRPr="00D91748">
        <w:rPr>
          <w:rFonts w:ascii="Bookman Old Style" w:hAnsi="Bookman Old Style" w:cs="Arial"/>
          <w:bCs/>
          <w:sz w:val="22"/>
          <w:szCs w:val="22"/>
        </w:rPr>
        <w:t>No. 033 de 2022 Senado – 002 de 2022 Cámara. “Por medio del cual se modifica el artículo 49 de la Constitución Política de Colombia, se regulariza el cannabis de uso adulto y se dictan otras disposiciones. – Primera Vuelta.</w:t>
      </w:r>
    </w:p>
    <w:p w14:paraId="410221B6" w14:textId="77777777" w:rsidR="006738F0" w:rsidRPr="00D91748" w:rsidRDefault="006738F0" w:rsidP="006738F0">
      <w:pPr>
        <w:pStyle w:val="Default"/>
        <w:jc w:val="both"/>
        <w:rPr>
          <w:rFonts w:ascii="Bookman Old Style" w:hAnsi="Bookman Old Style" w:cs="Arial"/>
          <w:b/>
          <w:bCs/>
          <w:sz w:val="22"/>
          <w:szCs w:val="22"/>
        </w:rPr>
      </w:pPr>
    </w:p>
    <w:p w14:paraId="09D41CF6" w14:textId="77777777" w:rsidR="006738F0" w:rsidRPr="00D91748" w:rsidRDefault="006738F0" w:rsidP="006738F0">
      <w:pPr>
        <w:pStyle w:val="Default"/>
        <w:jc w:val="both"/>
        <w:rPr>
          <w:rFonts w:ascii="Bookman Old Style" w:hAnsi="Bookman Old Style"/>
        </w:rPr>
      </w:pPr>
      <w:r w:rsidRPr="00D91748">
        <w:rPr>
          <w:rFonts w:ascii="Bookman Old Style" w:hAnsi="Bookman Old Style"/>
        </w:rPr>
        <w:t xml:space="preserve">Respetados Presidentes: </w:t>
      </w:r>
    </w:p>
    <w:p w14:paraId="2967B4AD" w14:textId="77777777" w:rsidR="006738F0" w:rsidRPr="00D91748" w:rsidRDefault="006738F0" w:rsidP="006738F0">
      <w:pPr>
        <w:pStyle w:val="Default"/>
        <w:jc w:val="both"/>
        <w:rPr>
          <w:rFonts w:ascii="Bookman Old Style" w:hAnsi="Bookman Old Style"/>
        </w:rPr>
      </w:pPr>
    </w:p>
    <w:p w14:paraId="0A8B2A3E" w14:textId="77777777" w:rsidR="006738F0" w:rsidRPr="00D91748" w:rsidRDefault="006738F0" w:rsidP="006738F0">
      <w:pPr>
        <w:pStyle w:val="Default"/>
        <w:jc w:val="both"/>
        <w:rPr>
          <w:rFonts w:ascii="Bookman Old Style" w:hAnsi="Bookman Old Style"/>
        </w:rPr>
      </w:pPr>
      <w:r w:rsidRPr="00D91748">
        <w:rPr>
          <w:rFonts w:ascii="Bookman Old Style" w:hAnsi="Bookman Old Style"/>
        </w:rPr>
        <w:t xml:space="preserve">En atención a lo dispuesto por el artículo 161 de la Constitución Política y los artículos 186, 187 y 188 de la Ley 5 de 1992 y la honrosa designación que nos hicieran las Mesas Directivas de ambas células legislativas como integrantes de la Comisión Accidental de Conciliación, de manera atenta, nos permitimos rendir informe de conciliación sobre el Proyecto de </w:t>
      </w:r>
      <w:r w:rsidR="00BF791A" w:rsidRPr="00D91748">
        <w:rPr>
          <w:rFonts w:ascii="Bookman Old Style" w:hAnsi="Bookman Old Style"/>
        </w:rPr>
        <w:t xml:space="preserve">Acto Legislativo </w:t>
      </w:r>
      <w:r w:rsidRPr="00D91748">
        <w:rPr>
          <w:rFonts w:ascii="Bookman Old Style" w:hAnsi="Bookman Old Style"/>
        </w:rPr>
        <w:t xml:space="preserve">de la referencia bajo los siguientes términos: </w:t>
      </w:r>
    </w:p>
    <w:p w14:paraId="17E03463" w14:textId="77777777" w:rsidR="006738F0" w:rsidRPr="00D91748" w:rsidRDefault="006738F0" w:rsidP="006738F0">
      <w:pPr>
        <w:pStyle w:val="Default"/>
        <w:jc w:val="both"/>
        <w:rPr>
          <w:rFonts w:ascii="Bookman Old Style" w:hAnsi="Bookman Old Style"/>
        </w:rPr>
      </w:pPr>
    </w:p>
    <w:p w14:paraId="0F4685B8" w14:textId="77777777" w:rsidR="006738F0" w:rsidRPr="00D91748" w:rsidRDefault="006738F0" w:rsidP="006738F0">
      <w:pPr>
        <w:pStyle w:val="Default"/>
        <w:jc w:val="both"/>
        <w:rPr>
          <w:rFonts w:ascii="Bookman Old Style" w:hAnsi="Bookman Old Style"/>
        </w:rPr>
      </w:pPr>
      <w:r w:rsidRPr="00D91748">
        <w:rPr>
          <w:rFonts w:ascii="Bookman Old Style" w:hAnsi="Bookman Old Style"/>
        </w:rPr>
        <w:t xml:space="preserve">Para cumplir con nuestro cometido, procedimos a realizar un estudio comparativo de los textos aprobados en las respectivas cámaras con el fin de analizar su contenido y encontrar las discrepancias entre los dos textos, a partir de lo cual proponemos un texto que supera las divergencias entre las dos corporaciones. </w:t>
      </w:r>
    </w:p>
    <w:p w14:paraId="1F84AFD3" w14:textId="77777777" w:rsidR="006738F0" w:rsidRPr="00D91748" w:rsidRDefault="006738F0" w:rsidP="006738F0">
      <w:pPr>
        <w:pStyle w:val="Default"/>
        <w:jc w:val="both"/>
        <w:rPr>
          <w:rFonts w:ascii="Bookman Old Style" w:hAnsi="Bookman Old Style"/>
        </w:rPr>
      </w:pPr>
    </w:p>
    <w:p w14:paraId="4059EC2C" w14:textId="77777777" w:rsidR="00BF791A" w:rsidRPr="00D91748" w:rsidRDefault="00BF791A" w:rsidP="006738F0">
      <w:pPr>
        <w:pStyle w:val="Default"/>
        <w:jc w:val="both"/>
        <w:rPr>
          <w:rFonts w:ascii="Bookman Old Style" w:hAnsi="Bookman Old Style" w:cs="Arial"/>
          <w:bCs/>
          <w:sz w:val="22"/>
          <w:szCs w:val="22"/>
        </w:rPr>
      </w:pPr>
      <w:r w:rsidRPr="007B558F">
        <w:rPr>
          <w:rFonts w:ascii="Bookman Old Style" w:hAnsi="Bookman Old Style"/>
        </w:rPr>
        <w:t xml:space="preserve">Proyecto de Acto Legislativo </w:t>
      </w:r>
      <w:r w:rsidRPr="007B558F">
        <w:rPr>
          <w:rFonts w:ascii="Bookman Old Style" w:hAnsi="Bookman Old Style" w:cs="Arial"/>
          <w:bCs/>
        </w:rPr>
        <w:t xml:space="preserve">No. 033 de 2022 Senado – 002 de 2022 Cámara. “Por medio del cual se modifica el artículo 49 de la Constitución Política de Colombia, se regulariza el cannabis de uso adulto y se dictan otras disposiciones. – Primera Vuelta, </w:t>
      </w:r>
      <w:r w:rsidR="006738F0" w:rsidRPr="007B558F">
        <w:rPr>
          <w:rFonts w:ascii="Bookman Old Style" w:hAnsi="Bookman Old Style"/>
        </w:rPr>
        <w:t>presentó modificaciones a lo largo de su trámite legislativo, razón por la cual, el texto aprobado en la plenaria del Senado de la República difiere del texto aprobado en la plenaria de la Cámara de Representantes</w:t>
      </w:r>
      <w:r w:rsidR="006738F0" w:rsidRPr="00D91748">
        <w:rPr>
          <w:rFonts w:ascii="Bookman Old Style" w:hAnsi="Bookman Old Style"/>
        </w:rPr>
        <w:t xml:space="preserve">. </w:t>
      </w:r>
    </w:p>
    <w:p w14:paraId="54C62881" w14:textId="77777777" w:rsidR="00BF791A" w:rsidRPr="00D91748" w:rsidRDefault="00BF791A" w:rsidP="006738F0">
      <w:pPr>
        <w:pStyle w:val="Default"/>
        <w:jc w:val="both"/>
        <w:rPr>
          <w:rFonts w:ascii="Bookman Old Style" w:hAnsi="Bookman Old Style"/>
        </w:rPr>
      </w:pPr>
    </w:p>
    <w:p w14:paraId="510CB281" w14:textId="77777777" w:rsidR="00BF791A" w:rsidRPr="00D91748" w:rsidRDefault="006738F0" w:rsidP="006738F0">
      <w:pPr>
        <w:pStyle w:val="Default"/>
        <w:jc w:val="both"/>
        <w:rPr>
          <w:rFonts w:ascii="Bookman Old Style" w:hAnsi="Bookman Old Style"/>
        </w:rPr>
      </w:pPr>
      <w:r w:rsidRPr="00D91748">
        <w:rPr>
          <w:rFonts w:ascii="Bookman Old Style" w:hAnsi="Bookman Old Style"/>
        </w:rPr>
        <w:t xml:space="preserve">Teniendo en cuenta lo anterior, se hace necesaria su conciliación a fin de que, una vez se surta el trámite de discusión y votación del presente informe, se proceda a su </w:t>
      </w:r>
      <w:r w:rsidR="00BF791A" w:rsidRPr="00D91748">
        <w:rPr>
          <w:rFonts w:ascii="Bookman Old Style" w:hAnsi="Bookman Old Style"/>
        </w:rPr>
        <w:t>aprobación en primera vuelta del presente Acto Legislativo.</w:t>
      </w:r>
    </w:p>
    <w:p w14:paraId="6F28F04D" w14:textId="77777777" w:rsidR="00BF791A" w:rsidRPr="00D91748" w:rsidRDefault="00BF791A" w:rsidP="006738F0">
      <w:pPr>
        <w:pStyle w:val="Default"/>
        <w:jc w:val="both"/>
        <w:rPr>
          <w:rFonts w:ascii="Bookman Old Style" w:hAnsi="Bookman Old Style"/>
        </w:rPr>
      </w:pPr>
    </w:p>
    <w:p w14:paraId="1097BA54" w14:textId="77777777" w:rsidR="006738F0" w:rsidRPr="00D91748" w:rsidRDefault="006738F0" w:rsidP="006738F0">
      <w:pPr>
        <w:pStyle w:val="Default"/>
        <w:jc w:val="both"/>
        <w:rPr>
          <w:rFonts w:ascii="Bookman Old Style" w:hAnsi="Bookman Old Style"/>
        </w:rPr>
      </w:pPr>
      <w:r w:rsidRPr="00D91748">
        <w:rPr>
          <w:rFonts w:ascii="Bookman Old Style" w:hAnsi="Bookman Old Style"/>
        </w:rPr>
        <w:lastRenderedPageBreak/>
        <w:t>Para facilitar la discusión, a continuación, se presenta un cuadro comparativo de los textos aprobados de manera diferente por las respectivas plenarias, indicando el texto que se propone adoptar:</w:t>
      </w:r>
    </w:p>
    <w:p w14:paraId="27D3E1D6" w14:textId="77777777" w:rsidR="00BF791A" w:rsidRPr="00D91748" w:rsidRDefault="00BF791A" w:rsidP="006738F0">
      <w:pPr>
        <w:pStyle w:val="Default"/>
        <w:jc w:val="both"/>
        <w:rPr>
          <w:rFonts w:ascii="Bookman Old Style" w:hAnsi="Bookman Old Style"/>
        </w:rPr>
      </w:pPr>
    </w:p>
    <w:p w14:paraId="068BA6DD" w14:textId="77777777" w:rsidR="00BF791A" w:rsidRPr="00D91748" w:rsidRDefault="00BF791A" w:rsidP="006738F0">
      <w:pPr>
        <w:pStyle w:val="Default"/>
        <w:jc w:val="both"/>
        <w:rPr>
          <w:rFonts w:ascii="Bookman Old Style" w:hAnsi="Bookman Old Style" w:cs="Arial"/>
          <w:b/>
          <w:bCs/>
          <w:sz w:val="22"/>
          <w:szCs w:val="22"/>
        </w:rPr>
      </w:pPr>
      <w:r w:rsidRPr="00D91748">
        <w:rPr>
          <w:rFonts w:ascii="Bookman Old Style" w:hAnsi="Bookman Old Style"/>
          <w:b/>
        </w:rPr>
        <w:t>TABLA DE ARTÍCULOS CONCILIADOS</w:t>
      </w:r>
    </w:p>
    <w:p w14:paraId="368D10C7" w14:textId="77777777" w:rsidR="006738F0" w:rsidRPr="00D91748" w:rsidRDefault="006738F0">
      <w:pPr>
        <w:rPr>
          <w:rFonts w:ascii="Bookman Old Style" w:hAnsi="Bookman Old Style"/>
        </w:rPr>
      </w:pPr>
    </w:p>
    <w:tbl>
      <w:tblPr>
        <w:tblStyle w:val="Tablaconcuadrcula"/>
        <w:tblW w:w="10007" w:type="dxa"/>
        <w:tblLook w:val="04A0" w:firstRow="1" w:lastRow="0" w:firstColumn="1" w:lastColumn="0" w:noHBand="0" w:noVBand="1"/>
      </w:tblPr>
      <w:tblGrid>
        <w:gridCol w:w="3335"/>
        <w:gridCol w:w="3336"/>
        <w:gridCol w:w="3336"/>
      </w:tblGrid>
      <w:tr w:rsidR="008A1708" w:rsidRPr="00D91748" w14:paraId="658A7019" w14:textId="77777777" w:rsidTr="00831062">
        <w:trPr>
          <w:trHeight w:val="354"/>
        </w:trPr>
        <w:tc>
          <w:tcPr>
            <w:tcW w:w="3335" w:type="dxa"/>
          </w:tcPr>
          <w:p w14:paraId="5CC96760" w14:textId="77777777" w:rsidR="008A1708" w:rsidRPr="00D91748" w:rsidRDefault="008A1708" w:rsidP="00831062">
            <w:pPr>
              <w:jc w:val="center"/>
              <w:rPr>
                <w:rFonts w:ascii="Bookman Old Style" w:hAnsi="Bookman Old Style"/>
                <w:b/>
                <w:bCs/>
                <w:sz w:val="24"/>
                <w:szCs w:val="24"/>
              </w:rPr>
            </w:pPr>
            <w:r w:rsidRPr="00D91748">
              <w:rPr>
                <w:rFonts w:ascii="Bookman Old Style" w:hAnsi="Bookman Old Style"/>
                <w:b/>
                <w:bCs/>
                <w:sz w:val="24"/>
                <w:szCs w:val="24"/>
              </w:rPr>
              <w:t>TEXTO APROBADO EN CÁMARA</w:t>
            </w:r>
          </w:p>
        </w:tc>
        <w:tc>
          <w:tcPr>
            <w:tcW w:w="3336" w:type="dxa"/>
          </w:tcPr>
          <w:p w14:paraId="358FB9D9" w14:textId="77777777" w:rsidR="008A1708" w:rsidRPr="00D91748" w:rsidRDefault="008A1708" w:rsidP="00831062">
            <w:pPr>
              <w:jc w:val="center"/>
              <w:rPr>
                <w:rFonts w:ascii="Bookman Old Style" w:hAnsi="Bookman Old Style"/>
                <w:b/>
                <w:bCs/>
                <w:sz w:val="24"/>
                <w:szCs w:val="24"/>
              </w:rPr>
            </w:pPr>
            <w:r w:rsidRPr="00D91748">
              <w:rPr>
                <w:rFonts w:ascii="Bookman Old Style" w:hAnsi="Bookman Old Style"/>
                <w:b/>
                <w:bCs/>
                <w:sz w:val="24"/>
                <w:szCs w:val="24"/>
              </w:rPr>
              <w:t>TEXTO APROBADO EN SENADO</w:t>
            </w:r>
          </w:p>
        </w:tc>
        <w:tc>
          <w:tcPr>
            <w:tcW w:w="3336" w:type="dxa"/>
          </w:tcPr>
          <w:p w14:paraId="65D989DA" w14:textId="77777777" w:rsidR="008A1708" w:rsidRPr="00D91748" w:rsidRDefault="008A1708" w:rsidP="00831062">
            <w:pPr>
              <w:jc w:val="center"/>
              <w:rPr>
                <w:rFonts w:ascii="Bookman Old Style" w:hAnsi="Bookman Old Style"/>
                <w:b/>
                <w:bCs/>
                <w:sz w:val="24"/>
                <w:szCs w:val="24"/>
              </w:rPr>
            </w:pPr>
            <w:r w:rsidRPr="00D91748">
              <w:rPr>
                <w:rFonts w:ascii="Bookman Old Style" w:hAnsi="Bookman Old Style"/>
                <w:b/>
                <w:bCs/>
                <w:sz w:val="24"/>
                <w:szCs w:val="24"/>
              </w:rPr>
              <w:t>TEXTO CONCILIADO</w:t>
            </w:r>
          </w:p>
        </w:tc>
      </w:tr>
      <w:tr w:rsidR="008A1708" w:rsidRPr="00D91748" w14:paraId="4D825CF9" w14:textId="77777777" w:rsidTr="00831062">
        <w:trPr>
          <w:trHeight w:val="354"/>
        </w:trPr>
        <w:tc>
          <w:tcPr>
            <w:tcW w:w="3335" w:type="dxa"/>
          </w:tcPr>
          <w:p w14:paraId="0AFB4B3F" w14:textId="77777777" w:rsidR="008A1708" w:rsidRPr="00D91748" w:rsidRDefault="008A1708" w:rsidP="00831062">
            <w:pPr>
              <w:pStyle w:val="centrado"/>
              <w:spacing w:before="0" w:beforeAutospacing="0"/>
              <w:jc w:val="both"/>
              <w:rPr>
                <w:rFonts w:ascii="Bookman Old Style" w:hAnsi="Bookman Old Style" w:cs="Arial"/>
                <w:sz w:val="22"/>
                <w:szCs w:val="22"/>
              </w:rPr>
            </w:pPr>
            <w:r w:rsidRPr="00D91748">
              <w:rPr>
                <w:rFonts w:ascii="Bookman Old Style" w:hAnsi="Bookman Old Style" w:cs="Arial"/>
                <w:b/>
                <w:bCs/>
                <w:sz w:val="22"/>
                <w:szCs w:val="22"/>
              </w:rPr>
              <w:t xml:space="preserve">ARTÍCULO 1º. </w:t>
            </w:r>
            <w:r w:rsidRPr="00D91748">
              <w:rPr>
                <w:rFonts w:ascii="Bookman Old Style" w:hAnsi="Bookman Old Style" w:cs="Arial"/>
                <w:sz w:val="22"/>
                <w:szCs w:val="22"/>
              </w:rPr>
              <w:t xml:space="preserve">El artículo 49 de la Constitución Política quedará así: </w:t>
            </w:r>
          </w:p>
          <w:p w14:paraId="65827365"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5891DCC8"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6ECFBE7E"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32CBDFCF"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5255E1BD"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43C1EBD2"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b/>
                <w:bCs/>
              </w:rPr>
              <w:t>ARTÍCULO 49o.</w:t>
            </w:r>
            <w:r w:rsidRPr="00D91748">
              <w:rPr>
                <w:rFonts w:ascii="Bookman Old Style" w:hAnsi="Bookman Old Style" w:cs="Arial"/>
              </w:rPr>
              <w:t xml:space="preserve"> La atención de la salud y el saneamiento ambiental son servicios públicos a cargo del Estado. Se garantiza a todas las personas el acceso a los servicios de promoción, protección y recuperación de la salud.</w:t>
            </w:r>
          </w:p>
          <w:p w14:paraId="0180C12B"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w:t>
            </w:r>
            <w:r w:rsidRPr="00D91748">
              <w:rPr>
                <w:rFonts w:ascii="Bookman Old Style" w:hAnsi="Bookman Old Style"/>
              </w:rPr>
              <w:lastRenderedPageBreak/>
              <w:t>los particulares y determinar los aportes a su cargo en los términos y condiciones señalados en la ley.</w:t>
            </w:r>
          </w:p>
          <w:p w14:paraId="437F34FC" w14:textId="77777777" w:rsidR="008A1708" w:rsidRPr="00D91748" w:rsidRDefault="008A1708" w:rsidP="00831062">
            <w:pPr>
              <w:jc w:val="both"/>
              <w:rPr>
                <w:rFonts w:ascii="Bookman Old Style" w:hAnsi="Bookman Old Style"/>
              </w:rPr>
            </w:pPr>
          </w:p>
          <w:p w14:paraId="02208164" w14:textId="77777777" w:rsidR="008A1708" w:rsidRPr="00D91748" w:rsidRDefault="008A1708" w:rsidP="00831062">
            <w:pPr>
              <w:jc w:val="both"/>
              <w:rPr>
                <w:rFonts w:ascii="Bookman Old Style" w:hAnsi="Bookman Old Style"/>
              </w:rPr>
            </w:pPr>
            <w:r w:rsidRPr="00D91748">
              <w:rPr>
                <w:rFonts w:ascii="Bookman Old Style" w:hAnsi="Bookman Old Style"/>
              </w:rPr>
              <w:t>Los servicios de salud se organizarán en forma descentralizada, por niveles de atención y con participación de la comunidad.</w:t>
            </w:r>
          </w:p>
          <w:p w14:paraId="3410901A" w14:textId="77777777" w:rsidR="008A1708" w:rsidRPr="00D91748" w:rsidRDefault="008A1708" w:rsidP="00831062">
            <w:pPr>
              <w:jc w:val="both"/>
              <w:rPr>
                <w:rFonts w:ascii="Bookman Old Style" w:hAnsi="Bookman Old Style"/>
              </w:rPr>
            </w:pPr>
          </w:p>
          <w:p w14:paraId="7A7506D1" w14:textId="77777777" w:rsidR="008A1708" w:rsidRPr="00D91748" w:rsidRDefault="008A1708" w:rsidP="00831062">
            <w:pPr>
              <w:jc w:val="both"/>
              <w:rPr>
                <w:rFonts w:ascii="Bookman Old Style" w:hAnsi="Bookman Old Style"/>
              </w:rPr>
            </w:pPr>
            <w:r w:rsidRPr="00D91748">
              <w:rPr>
                <w:rFonts w:ascii="Bookman Old Style" w:hAnsi="Bookman Old Style"/>
              </w:rPr>
              <w:t>La ley señalará los términos en los cuales la atención básica para todos los habitantes será gratuita y obligatoria.</w:t>
            </w:r>
          </w:p>
          <w:p w14:paraId="76937ACE" w14:textId="77777777" w:rsidR="008A1708" w:rsidRPr="00D91748" w:rsidRDefault="008A1708" w:rsidP="00831062">
            <w:pPr>
              <w:jc w:val="both"/>
              <w:rPr>
                <w:rFonts w:ascii="Bookman Old Style" w:hAnsi="Bookman Old Style"/>
              </w:rPr>
            </w:pPr>
          </w:p>
          <w:p w14:paraId="12DB2CD8" w14:textId="77777777" w:rsidR="008A1708" w:rsidRPr="00D91748" w:rsidRDefault="008A1708" w:rsidP="00831062">
            <w:pPr>
              <w:jc w:val="both"/>
              <w:rPr>
                <w:rFonts w:ascii="Bookman Old Style" w:hAnsi="Bookman Old Style"/>
              </w:rPr>
            </w:pPr>
            <w:r w:rsidRPr="00D91748">
              <w:rPr>
                <w:rFonts w:ascii="Bookman Old Style" w:hAnsi="Bookman Old Style"/>
              </w:rPr>
              <w:t>Toda persona tiene el deber de procurar el cuidado integral de su salud y de su comunidad.</w:t>
            </w:r>
          </w:p>
          <w:p w14:paraId="7D54259E" w14:textId="77777777" w:rsidR="008A1708" w:rsidRPr="00D91748" w:rsidRDefault="008A1708" w:rsidP="00831062">
            <w:pPr>
              <w:jc w:val="both"/>
              <w:rPr>
                <w:rFonts w:ascii="Bookman Old Style" w:hAnsi="Bookman Old Style"/>
              </w:rPr>
            </w:pPr>
          </w:p>
          <w:p w14:paraId="203425B9"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El porte y consumo de sustancias psicoactivas no reguladas está prohibido, salvo prescripción médica. </w:t>
            </w:r>
          </w:p>
          <w:p w14:paraId="0B97DF7C" w14:textId="77777777" w:rsidR="008A1708" w:rsidRPr="00D91748" w:rsidRDefault="008A1708" w:rsidP="00831062">
            <w:pPr>
              <w:jc w:val="both"/>
              <w:rPr>
                <w:rFonts w:ascii="Bookman Old Style" w:hAnsi="Bookman Old Style"/>
              </w:rPr>
            </w:pPr>
          </w:p>
          <w:p w14:paraId="5C655124"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Con fines preventivos y rehabilitadores la ley establecerá medidas y tratamientos de orden pedagógico, profiláctico o terapéutico para toda la población y en especial a las personas que consuman sustancias estupefacientes o sicotrópicas. El sometimiento a esas medidas y tratamientos requieren el consentimiento informado del consumidor. </w:t>
            </w:r>
          </w:p>
          <w:p w14:paraId="35E6BBA7" w14:textId="77777777" w:rsidR="008A1708" w:rsidRPr="00D91748" w:rsidRDefault="008A1708" w:rsidP="00831062">
            <w:pPr>
              <w:jc w:val="both"/>
              <w:rPr>
                <w:rFonts w:ascii="Bookman Old Style" w:hAnsi="Bookman Old Style"/>
              </w:rPr>
            </w:pPr>
          </w:p>
          <w:p w14:paraId="6FB9CCE2"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La prohibición prevista en el inciso anterior no aplicará para el porte, producción, distribución, venta y consumo del cannabis y sus derivados por parte de mayores de edad. Tampoco </w:t>
            </w:r>
            <w:r w:rsidRPr="00D91748">
              <w:rPr>
                <w:rFonts w:ascii="Bookman Old Style" w:hAnsi="Bookman Old Style"/>
              </w:rPr>
              <w:lastRenderedPageBreak/>
              <w:t xml:space="preserve">aplicará para ninguna de estas sustancias cuando su destinación sea para usos científicos o de investigación, siempre y cuando cuente con las licencias otorgadas por la autoridad competente. </w:t>
            </w:r>
          </w:p>
          <w:p w14:paraId="45F5E46D" w14:textId="77777777" w:rsidR="008A1708" w:rsidRPr="00D91748" w:rsidRDefault="008A1708" w:rsidP="00831062">
            <w:pPr>
              <w:jc w:val="both"/>
              <w:rPr>
                <w:rFonts w:ascii="Bookman Old Style" w:hAnsi="Bookman Old Style"/>
              </w:rPr>
            </w:pPr>
          </w:p>
          <w:p w14:paraId="0548F9DA"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La ley restringirá el consumo y comercialización de cannabis o sus derivados en entornos escolares y reglamentará el porte y consumo de cannabis y sus derivados en espacios públicos, recreativos, en espacios privados y públicos abiertos al público, comunes, zonas comunes, en establecimientos carcelarios y de rehabilitación, entre otros. </w:t>
            </w:r>
          </w:p>
          <w:p w14:paraId="5BA5C1E9" w14:textId="77777777" w:rsidR="008A1708" w:rsidRPr="00D91748" w:rsidRDefault="008A1708" w:rsidP="00831062">
            <w:pPr>
              <w:jc w:val="both"/>
              <w:rPr>
                <w:rFonts w:ascii="Bookman Old Style" w:hAnsi="Bookman Old Style"/>
              </w:rPr>
            </w:pPr>
          </w:p>
          <w:p w14:paraId="010CFDD0" w14:textId="77777777" w:rsidR="008A1708" w:rsidRPr="00D91748" w:rsidRDefault="008A1708" w:rsidP="00831062">
            <w:pPr>
              <w:jc w:val="both"/>
              <w:rPr>
                <w:rFonts w:ascii="Bookman Old Style" w:hAnsi="Bookman Old Style"/>
              </w:rPr>
            </w:pPr>
          </w:p>
          <w:p w14:paraId="6A71B2D5"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Así mismo, el Estado atenderá con un enfoque de derechos humanos a toda la población con una relación problemática con sustancias psicoactivas y a su familia y/o redes de apoyo, garantizando su tratamiento y rehabilitación; y así prevenir comportamientos que afecten el cuidado integral de la salud de las personas y, por consiguiente, de la comunidad, y desarrollará de manera permanente campañas de prevención del consumo de sustancias psicoactivas y sus efectos nocivos , así como estrategias de reducción de riesgos y daños en favor de los consumidores que tienen relación problemática o dependiente con sustancias psicoactivas. </w:t>
            </w:r>
          </w:p>
          <w:p w14:paraId="26E67DE8" w14:textId="77777777" w:rsidR="008A1708" w:rsidRPr="00D91748" w:rsidRDefault="008A1708" w:rsidP="00831062">
            <w:pPr>
              <w:jc w:val="both"/>
              <w:rPr>
                <w:rFonts w:ascii="Bookman Old Style" w:hAnsi="Bookman Old Style"/>
              </w:rPr>
            </w:pPr>
          </w:p>
          <w:p w14:paraId="7378FB21" w14:textId="77777777" w:rsidR="008A1708" w:rsidRPr="00D91748" w:rsidRDefault="008A1708" w:rsidP="00831062">
            <w:pPr>
              <w:jc w:val="both"/>
              <w:rPr>
                <w:rFonts w:ascii="Bookman Old Style" w:hAnsi="Bookman Old Style"/>
              </w:rPr>
            </w:pPr>
          </w:p>
          <w:p w14:paraId="034716A1"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El Estado incorporará en el Sistema Educativo, en su diferentes formas, modalidades y niveles, la educación sobre la prevención en el consumo de drogas o sustancias estupefacientes y sus efectos nocivos. </w:t>
            </w:r>
          </w:p>
          <w:p w14:paraId="593BD8DB" w14:textId="77777777" w:rsidR="008A1708" w:rsidRPr="00D91748" w:rsidRDefault="008A1708" w:rsidP="00831062">
            <w:pPr>
              <w:jc w:val="both"/>
              <w:rPr>
                <w:rFonts w:ascii="Bookman Old Style" w:hAnsi="Bookman Old Style"/>
              </w:rPr>
            </w:pPr>
          </w:p>
          <w:p w14:paraId="67FB3681" w14:textId="77777777" w:rsidR="008A1708" w:rsidRPr="00D91748" w:rsidRDefault="008A1708" w:rsidP="00831062">
            <w:pPr>
              <w:jc w:val="both"/>
              <w:rPr>
                <w:rFonts w:ascii="Bookman Old Style" w:hAnsi="Bookman Old Style"/>
              </w:rPr>
            </w:pPr>
          </w:p>
          <w:p w14:paraId="2B66E7C1" w14:textId="77777777" w:rsidR="008A1708" w:rsidRPr="00D91748" w:rsidRDefault="008A1708" w:rsidP="00831062">
            <w:pPr>
              <w:jc w:val="both"/>
              <w:rPr>
                <w:rFonts w:ascii="Bookman Old Style" w:hAnsi="Bookman Old Style"/>
              </w:rPr>
            </w:pPr>
            <w:r w:rsidRPr="00D91748">
              <w:rPr>
                <w:rFonts w:ascii="Bookman Old Style" w:hAnsi="Bookman Old Style"/>
              </w:rPr>
              <w:t>Las entidades que conformas en sistema General de Seguridad Social en Salud y sus prestadores garantizarán la aplicación e incorporación de lo establecido en este artículo de forma obligatoria.</w:t>
            </w:r>
          </w:p>
        </w:tc>
        <w:tc>
          <w:tcPr>
            <w:tcW w:w="3336" w:type="dxa"/>
          </w:tcPr>
          <w:p w14:paraId="25D59861" w14:textId="77777777" w:rsidR="008A1708" w:rsidRPr="00D91748" w:rsidRDefault="008A1708" w:rsidP="00831062">
            <w:pPr>
              <w:pStyle w:val="centrado"/>
              <w:spacing w:before="0" w:beforeAutospacing="0"/>
              <w:jc w:val="both"/>
              <w:rPr>
                <w:rFonts w:ascii="Bookman Old Style" w:hAnsi="Bookman Old Style" w:cs="Arial"/>
                <w:sz w:val="22"/>
                <w:szCs w:val="22"/>
              </w:rPr>
            </w:pPr>
            <w:r w:rsidRPr="00D91748">
              <w:rPr>
                <w:rFonts w:ascii="Bookman Old Style" w:hAnsi="Bookman Old Style" w:cs="Arial"/>
                <w:b/>
                <w:bCs/>
                <w:sz w:val="22"/>
                <w:szCs w:val="22"/>
              </w:rPr>
              <w:lastRenderedPageBreak/>
              <w:t xml:space="preserve">ARTÍCULO 1º. </w:t>
            </w:r>
            <w:r w:rsidRPr="00D91748">
              <w:rPr>
                <w:rFonts w:ascii="Bookman Old Style" w:hAnsi="Bookman Old Style" w:cs="Arial"/>
                <w:sz w:val="22"/>
                <w:szCs w:val="22"/>
              </w:rPr>
              <w:t xml:space="preserve">El artículo 49 de la Constitución Política quedará así: </w:t>
            </w:r>
          </w:p>
          <w:p w14:paraId="0E437CBC"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4E14F450"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14ED8DDD"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786800DE"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48F63D95" w14:textId="77777777" w:rsidR="008A1708" w:rsidRPr="00D91748" w:rsidRDefault="008A1708" w:rsidP="00831062">
            <w:pPr>
              <w:pStyle w:val="centrado"/>
              <w:spacing w:before="0" w:beforeAutospacing="0"/>
              <w:jc w:val="both"/>
              <w:rPr>
                <w:rFonts w:ascii="Bookman Old Style" w:hAnsi="Bookman Old Style" w:cs="Arial"/>
                <w:sz w:val="22"/>
                <w:szCs w:val="22"/>
              </w:rPr>
            </w:pPr>
          </w:p>
          <w:p w14:paraId="29A55D90"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b/>
                <w:bCs/>
              </w:rPr>
              <w:t>ARTÍCULO 49o.</w:t>
            </w:r>
            <w:r w:rsidRPr="00D91748">
              <w:rPr>
                <w:rFonts w:ascii="Bookman Old Style" w:hAnsi="Bookman Old Style" w:cs="Arial"/>
              </w:rPr>
              <w:t xml:space="preserve"> La atención de la salud y el saneamiento ambiental son servicios públicos a cargo del Estado. Se garantiza a todas las personas el acceso a los servicios de promoción, protección y recuperación de la salud.</w:t>
            </w:r>
          </w:p>
          <w:p w14:paraId="48032E62"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w:t>
            </w:r>
            <w:r w:rsidRPr="00D91748">
              <w:rPr>
                <w:rFonts w:ascii="Bookman Old Style" w:hAnsi="Bookman Old Style" w:cs="Arial"/>
              </w:rPr>
              <w:lastRenderedPageBreak/>
              <w:t>los particulares y determinar los aportes a su cargo en los términos y condiciones señalados en la ley.</w:t>
            </w:r>
          </w:p>
          <w:p w14:paraId="3D1753F9"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t>Los servicios de salud se organizarán en forma descentralizada, por niveles de atención y con participación de la comunidad.</w:t>
            </w:r>
          </w:p>
          <w:p w14:paraId="42FD404A"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t>La ley señalará los términos en los cuales la atención básica para todos los habitantes será gratuita y obligatoria.</w:t>
            </w:r>
          </w:p>
          <w:p w14:paraId="08981FA4"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t>Toda persona tiene el deber de procurar el cuidado integral de su salud y de su comunidad.</w:t>
            </w:r>
          </w:p>
          <w:p w14:paraId="4F02985D"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t xml:space="preserve">El porte y el consumo de sustancias psicoactivas no reguladas está prohibido, salvo con fines médicos y científicos. </w:t>
            </w:r>
          </w:p>
          <w:p w14:paraId="319C140F"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t xml:space="preserve">La prohibición prevista en el inciso anterior no aplicará para el porte y consumo del cannabis y sus derivados por parte de mayores de edad. </w:t>
            </w:r>
          </w:p>
          <w:p w14:paraId="4BBA48FB"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t xml:space="preserve">Además, se permitirá la producción, distribución y venta de cannabis con fines de uso adulto por parte de mayores de edad, siempre que se cuente con las licencias otorgadas por la autoridad competente. El Estado garantizará la implementación de rutas de atención integral en salud alineadas con la evidencia científica para el consumo de sustancias psicoactivas y </w:t>
            </w:r>
            <w:r w:rsidRPr="00D91748">
              <w:rPr>
                <w:rFonts w:ascii="Bookman Old Style" w:hAnsi="Bookman Old Style" w:cs="Arial"/>
              </w:rPr>
              <w:lastRenderedPageBreak/>
              <w:t>salud mental a quienes manifiesten la necesidad de tratamiento médico por el consumo de cannabis y sus derivados.</w:t>
            </w:r>
          </w:p>
          <w:p w14:paraId="448EB49A"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t>Con fines preventivos y rehabilitadores la ley establecerá medidas y tratamientos de orden pedagógico, profiláctico o terapéutico para toda la población y en especial a las personas que consuman sustancias psicoactivas. El sometimiento a esas medidas y tratamientos requiere el consentimiento informado del consumidor.</w:t>
            </w:r>
          </w:p>
          <w:p w14:paraId="31B3559B" w14:textId="77777777" w:rsidR="008A1708" w:rsidRPr="00D91748" w:rsidRDefault="008A1708" w:rsidP="00831062">
            <w:pPr>
              <w:spacing w:after="100" w:afterAutospacing="1"/>
              <w:jc w:val="both"/>
              <w:rPr>
                <w:rFonts w:ascii="Bookman Old Style" w:hAnsi="Bookman Old Style" w:cs="Arial"/>
              </w:rPr>
            </w:pPr>
          </w:p>
          <w:p w14:paraId="47E7F718"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t>Así mismo, el Estado atenderá con un enfoque de Derechos Humanos y un enfoque de salud pública a toda la población con una relación problemática con sustancias psicoactivas</w:t>
            </w:r>
            <w:r w:rsidRPr="00D91748">
              <w:rPr>
                <w:rFonts w:ascii="Bookman Old Style" w:hAnsi="Bookman Old Style" w:cs="Arial"/>
                <w:b/>
                <w:bCs/>
              </w:rPr>
              <w:t xml:space="preserve"> </w:t>
            </w:r>
            <w:r w:rsidRPr="00D91748">
              <w:rPr>
                <w:rFonts w:ascii="Bookman Old Style" w:hAnsi="Bookman Old Style" w:cs="Arial"/>
              </w:rPr>
              <w:t>y a su familia y/o redes de apoyo, garantizando su tratamiento y rehabilitación; y así prevenir comportamientos que afecten el cuidado integral de la salud de las personas y, por consiguiente, de la comunidad, y desarrollará en forma permanente campañas de prevención del consumo de sustancias psicoactivas y sus efectos nocivos, así como estrategias de reducción de riesgos y daño en favor de los consumidores que tienen relación problemática o dependiente con sustancias psicoactivas.</w:t>
            </w:r>
          </w:p>
          <w:p w14:paraId="28FF411E" w14:textId="77777777" w:rsidR="008A1708" w:rsidRPr="00D91748" w:rsidRDefault="008A1708" w:rsidP="00831062">
            <w:pPr>
              <w:spacing w:after="100" w:afterAutospacing="1"/>
              <w:jc w:val="both"/>
              <w:rPr>
                <w:rFonts w:ascii="Bookman Old Style" w:hAnsi="Bookman Old Style" w:cs="Arial"/>
              </w:rPr>
            </w:pPr>
            <w:r w:rsidRPr="00D91748">
              <w:rPr>
                <w:rFonts w:ascii="Bookman Old Style" w:hAnsi="Bookman Old Style" w:cs="Arial"/>
              </w:rPr>
              <w:lastRenderedPageBreak/>
              <w:t xml:space="preserve">El Estado incorporará en el Sistema Educativo, en sus diferentes formas, modalidades y niveles, la educación sobre la prevención en el consumo de drogas o sustancias psicoactivas y sus efectos nocivos. </w:t>
            </w:r>
          </w:p>
          <w:p w14:paraId="6371D6DD" w14:textId="77777777" w:rsidR="008A1708" w:rsidRPr="00D91748" w:rsidRDefault="008A1708" w:rsidP="00831062">
            <w:pPr>
              <w:jc w:val="both"/>
              <w:rPr>
                <w:rFonts w:ascii="Bookman Old Style" w:hAnsi="Bookman Old Style" w:cs="Arial"/>
              </w:rPr>
            </w:pPr>
            <w:r w:rsidRPr="00D91748">
              <w:rPr>
                <w:rFonts w:ascii="Bookman Old Style" w:hAnsi="Bookman Old Style" w:cs="Arial"/>
              </w:rPr>
              <w:t>Las entidades que conforman el Sistema General de Seguridad Social en Salud y sus prestadores garantizarán la aplicación e incorporación de lo establecido en este artículo de forma obligatoria.</w:t>
            </w:r>
          </w:p>
          <w:p w14:paraId="214CDA9E" w14:textId="77777777" w:rsidR="008A1708" w:rsidRPr="00D91748" w:rsidRDefault="008A1708" w:rsidP="00831062">
            <w:pPr>
              <w:jc w:val="both"/>
              <w:rPr>
                <w:rFonts w:ascii="Bookman Old Style" w:hAnsi="Bookman Old Style"/>
              </w:rPr>
            </w:pPr>
          </w:p>
        </w:tc>
        <w:tc>
          <w:tcPr>
            <w:tcW w:w="3336" w:type="dxa"/>
          </w:tcPr>
          <w:p w14:paraId="1C6B9C51" w14:textId="77777777" w:rsidR="008A1708" w:rsidRPr="00D91748" w:rsidRDefault="00BF791A" w:rsidP="00831062">
            <w:pPr>
              <w:jc w:val="both"/>
              <w:rPr>
                <w:rFonts w:ascii="Bookman Old Style" w:hAnsi="Bookman Old Style" w:cs="Arial"/>
                <w:u w:val="single"/>
              </w:rPr>
            </w:pPr>
            <w:r w:rsidRPr="00D91748">
              <w:rPr>
                <w:rFonts w:ascii="Bookman Old Style" w:hAnsi="Bookman Old Style" w:cs="Arial"/>
                <w:u w:val="single"/>
              </w:rPr>
              <w:lastRenderedPageBreak/>
              <w:t>Se acoge el texto de Cámara, que incluye algunas restricciones sobre el alcan</w:t>
            </w:r>
            <w:r w:rsidR="00D91748">
              <w:rPr>
                <w:rFonts w:ascii="Bookman Old Style" w:hAnsi="Bookman Old Style" w:cs="Arial"/>
                <w:u w:val="single"/>
              </w:rPr>
              <w:t>ce del presente A</w:t>
            </w:r>
            <w:r w:rsidRPr="00D91748">
              <w:rPr>
                <w:rFonts w:ascii="Bookman Old Style" w:hAnsi="Bookman Old Style" w:cs="Arial"/>
                <w:u w:val="single"/>
              </w:rPr>
              <w:t>cto Legislativo.</w:t>
            </w:r>
            <w:r w:rsidR="008A1708" w:rsidRPr="00D91748">
              <w:rPr>
                <w:rFonts w:ascii="Bookman Old Style" w:hAnsi="Bookman Old Style" w:cs="Arial"/>
                <w:u w:val="single"/>
              </w:rPr>
              <w:t xml:space="preserve"> </w:t>
            </w:r>
          </w:p>
          <w:p w14:paraId="67589CC0" w14:textId="77777777" w:rsidR="008A1708" w:rsidRPr="00D91748" w:rsidRDefault="008A1708" w:rsidP="00831062">
            <w:pPr>
              <w:jc w:val="both"/>
              <w:rPr>
                <w:rFonts w:ascii="Bookman Old Style" w:hAnsi="Bookman Old Style"/>
              </w:rPr>
            </w:pPr>
          </w:p>
        </w:tc>
      </w:tr>
      <w:tr w:rsidR="008A1708" w:rsidRPr="00D91748" w14:paraId="0A42A0D3" w14:textId="77777777" w:rsidTr="00831062">
        <w:trPr>
          <w:trHeight w:val="354"/>
        </w:trPr>
        <w:tc>
          <w:tcPr>
            <w:tcW w:w="3335" w:type="dxa"/>
          </w:tcPr>
          <w:p w14:paraId="1D359387" w14:textId="77777777" w:rsidR="008A1708" w:rsidRPr="00D91748" w:rsidRDefault="008A1708" w:rsidP="00831062">
            <w:pPr>
              <w:jc w:val="both"/>
              <w:rPr>
                <w:rFonts w:ascii="Bookman Old Style" w:hAnsi="Bookman Old Style" w:cs="Arial"/>
                <w:b/>
                <w:bCs/>
              </w:rPr>
            </w:pPr>
            <w:r w:rsidRPr="00D91748">
              <w:rPr>
                <w:rFonts w:ascii="Bookman Old Style" w:hAnsi="Bookman Old Style" w:cs="Arial"/>
                <w:b/>
                <w:bCs/>
              </w:rPr>
              <w:lastRenderedPageBreak/>
              <w:t>ARTÍCULO 2°. TRANSITORIO.</w:t>
            </w:r>
          </w:p>
          <w:p w14:paraId="2B695811" w14:textId="77777777" w:rsidR="008A1708" w:rsidRPr="00D91748" w:rsidRDefault="008A1708" w:rsidP="00831062">
            <w:pPr>
              <w:pStyle w:val="NormalWeb"/>
              <w:spacing w:line="270" w:lineRule="atLeast"/>
              <w:jc w:val="both"/>
              <w:rPr>
                <w:rFonts w:ascii="Bookman Old Style" w:hAnsi="Bookman Old Style" w:cs="Arial"/>
                <w:b/>
                <w:bCs/>
                <w:sz w:val="22"/>
                <w:szCs w:val="22"/>
              </w:rPr>
            </w:pPr>
            <w:r w:rsidRPr="00D91748">
              <w:rPr>
                <w:rFonts w:ascii="Bookman Old Style" w:hAnsi="Bookman Old Style" w:cs="Arial"/>
                <w:sz w:val="22"/>
                <w:szCs w:val="22"/>
              </w:rPr>
              <w:t>El Gobierno Nacional tendrá un plazo de seis (6) meses, contados a partir de la promulgación del presente Acto Legislativo, para formular, divulgar e implementar una política pública estricta e integral en torno a la prevención y atención del consumo del cannabis y sus derivados. Dicha política deberá estar acompañada con una estrategia educativa nacional integral que tenga como objetivo la prevención del consumo de dichas sustancias.</w:t>
            </w:r>
            <w:r w:rsidRPr="00D91748">
              <w:rPr>
                <w:rFonts w:ascii="Bookman Old Style" w:hAnsi="Bookman Old Style" w:cs="Arial"/>
                <w:b/>
                <w:bCs/>
                <w:sz w:val="22"/>
                <w:szCs w:val="22"/>
              </w:rPr>
              <w:t xml:space="preserve"> </w:t>
            </w:r>
          </w:p>
          <w:p w14:paraId="03645C98" w14:textId="77777777" w:rsidR="008A1708" w:rsidRPr="00D91748" w:rsidRDefault="008A1708" w:rsidP="00831062">
            <w:pPr>
              <w:jc w:val="both"/>
              <w:rPr>
                <w:rFonts w:ascii="Bookman Old Style" w:hAnsi="Bookman Old Style"/>
              </w:rPr>
            </w:pPr>
          </w:p>
          <w:p w14:paraId="3C40F395" w14:textId="77777777" w:rsidR="008A1708" w:rsidRPr="00D91748" w:rsidRDefault="008A1708" w:rsidP="00831062">
            <w:pPr>
              <w:jc w:val="both"/>
              <w:rPr>
                <w:rFonts w:ascii="Bookman Old Style" w:hAnsi="Bookman Old Style"/>
              </w:rPr>
            </w:pPr>
          </w:p>
        </w:tc>
        <w:tc>
          <w:tcPr>
            <w:tcW w:w="3336" w:type="dxa"/>
          </w:tcPr>
          <w:p w14:paraId="22CD7618" w14:textId="77777777" w:rsidR="008A1708" w:rsidRPr="00D91748" w:rsidRDefault="008A1708" w:rsidP="00831062">
            <w:pPr>
              <w:pStyle w:val="NormalWeb"/>
              <w:spacing w:line="270" w:lineRule="atLeast"/>
              <w:jc w:val="both"/>
              <w:rPr>
                <w:rFonts w:ascii="Bookman Old Style" w:hAnsi="Bookman Old Style" w:cs="Arial"/>
                <w:b/>
                <w:bCs/>
                <w:sz w:val="22"/>
                <w:szCs w:val="22"/>
              </w:rPr>
            </w:pPr>
            <w:r w:rsidRPr="00D91748">
              <w:rPr>
                <w:rFonts w:ascii="Bookman Old Style" w:hAnsi="Bookman Old Style" w:cs="Arial"/>
                <w:b/>
                <w:bCs/>
                <w:sz w:val="22"/>
                <w:szCs w:val="22"/>
              </w:rPr>
              <w:t xml:space="preserve">ARTÍCULO 2°. TRANSITORIO. </w:t>
            </w:r>
          </w:p>
          <w:p w14:paraId="3F383DD3" w14:textId="77777777" w:rsidR="008A1708" w:rsidRPr="00D91748" w:rsidRDefault="008A1708" w:rsidP="00831062">
            <w:pPr>
              <w:pStyle w:val="NormalWeb"/>
              <w:spacing w:line="270" w:lineRule="atLeast"/>
              <w:jc w:val="both"/>
              <w:rPr>
                <w:rFonts w:ascii="Bookman Old Style" w:hAnsi="Bookman Old Style" w:cs="Arial"/>
                <w:b/>
                <w:bCs/>
                <w:sz w:val="22"/>
                <w:szCs w:val="22"/>
              </w:rPr>
            </w:pPr>
            <w:r w:rsidRPr="00D91748">
              <w:rPr>
                <w:rFonts w:ascii="Bookman Old Style" w:hAnsi="Bookman Old Style" w:cs="Arial"/>
                <w:sz w:val="22"/>
                <w:szCs w:val="22"/>
              </w:rPr>
              <w:t>El Gobierno Nacional tendrá un plazo de seis (6) meses, contados a partir de la promulgación del presente Acto Legislativo, para formular, divulgar e implementar una política pública estricta e integral en torno a la prevención y atención del consumo del cannabis y sus derivados. Dicha política deberá estar acompañada con una estrategia educativa nacional integral que tenga como objetivo la prevención del consumo de dichas sustancias.</w:t>
            </w:r>
            <w:r w:rsidRPr="00D91748">
              <w:rPr>
                <w:rFonts w:ascii="Bookman Old Style" w:hAnsi="Bookman Old Style" w:cs="Arial"/>
                <w:b/>
                <w:bCs/>
                <w:sz w:val="22"/>
                <w:szCs w:val="22"/>
              </w:rPr>
              <w:t xml:space="preserve"> </w:t>
            </w:r>
          </w:p>
          <w:p w14:paraId="6BA8AFF3" w14:textId="77777777" w:rsidR="008A1708" w:rsidRPr="00D91748" w:rsidRDefault="008A1708" w:rsidP="00831062">
            <w:pPr>
              <w:pStyle w:val="NormalWeb"/>
              <w:spacing w:line="270" w:lineRule="atLeast"/>
              <w:jc w:val="both"/>
              <w:rPr>
                <w:rFonts w:ascii="Bookman Old Style" w:hAnsi="Bookman Old Style" w:cs="Arial"/>
                <w:b/>
                <w:bCs/>
                <w:sz w:val="22"/>
                <w:szCs w:val="22"/>
                <w:u w:val="single"/>
              </w:rPr>
            </w:pPr>
            <w:r w:rsidRPr="00D91748">
              <w:rPr>
                <w:rFonts w:ascii="Bookman Old Style" w:hAnsi="Bookman Old Style" w:cs="Arial"/>
                <w:b/>
                <w:bCs/>
                <w:sz w:val="22"/>
                <w:szCs w:val="22"/>
                <w:u w:val="single"/>
              </w:rPr>
              <w:t xml:space="preserve">Parágrafo. Tratándose de pueblos indígenas, el Gobierno Nacional deberá agotar la consulta previa, para emitir un decreto para su reglamentación y garantizará la </w:t>
            </w:r>
            <w:r w:rsidRPr="00D91748">
              <w:rPr>
                <w:rFonts w:ascii="Bookman Old Style" w:hAnsi="Bookman Old Style" w:cs="Arial"/>
                <w:b/>
                <w:bCs/>
                <w:sz w:val="22"/>
                <w:szCs w:val="22"/>
                <w:u w:val="single"/>
              </w:rPr>
              <w:lastRenderedPageBreak/>
              <w:t xml:space="preserve">interculturalidad como elemento esencial del derecho fundamental a la salud para el fortalecimiento efectivo de los saberes, prácticas culturales, formas tradicionales y complementarias afines a la diversidad étnica. </w:t>
            </w:r>
          </w:p>
          <w:p w14:paraId="4172F77C" w14:textId="77777777" w:rsidR="008A1708" w:rsidRPr="00D91748" w:rsidRDefault="008A1708" w:rsidP="00831062">
            <w:pPr>
              <w:jc w:val="both"/>
              <w:rPr>
                <w:rFonts w:ascii="Bookman Old Style" w:hAnsi="Bookman Old Style"/>
              </w:rPr>
            </w:pPr>
          </w:p>
        </w:tc>
        <w:tc>
          <w:tcPr>
            <w:tcW w:w="3336" w:type="dxa"/>
          </w:tcPr>
          <w:p w14:paraId="728D33C6" w14:textId="77777777" w:rsidR="008A1708" w:rsidRPr="00D91748" w:rsidRDefault="00BF791A" w:rsidP="00831062">
            <w:pPr>
              <w:jc w:val="both"/>
              <w:rPr>
                <w:rFonts w:ascii="Bookman Old Style" w:hAnsi="Bookman Old Style"/>
              </w:rPr>
            </w:pPr>
            <w:r w:rsidRPr="00D91748">
              <w:rPr>
                <w:rFonts w:ascii="Bookman Old Style" w:hAnsi="Bookman Old Style"/>
              </w:rPr>
              <w:lastRenderedPageBreak/>
              <w:t>Se acoge el texto de Senado, por una disposición sobre los pueblos indígenas.</w:t>
            </w:r>
          </w:p>
          <w:p w14:paraId="2E082A11" w14:textId="77777777" w:rsidR="008A1708" w:rsidRPr="00D91748" w:rsidRDefault="008A1708" w:rsidP="00831062">
            <w:pPr>
              <w:jc w:val="both"/>
              <w:rPr>
                <w:rFonts w:ascii="Bookman Old Style" w:hAnsi="Bookman Old Style"/>
              </w:rPr>
            </w:pPr>
          </w:p>
        </w:tc>
      </w:tr>
      <w:tr w:rsidR="008A1708" w:rsidRPr="00D91748" w14:paraId="4360591E" w14:textId="77777777" w:rsidTr="00831062">
        <w:trPr>
          <w:trHeight w:val="341"/>
        </w:trPr>
        <w:tc>
          <w:tcPr>
            <w:tcW w:w="3335" w:type="dxa"/>
          </w:tcPr>
          <w:p w14:paraId="39207F8A" w14:textId="77777777" w:rsidR="008A1708" w:rsidRPr="00D91748" w:rsidRDefault="008A1708" w:rsidP="00831062">
            <w:pPr>
              <w:jc w:val="both"/>
              <w:rPr>
                <w:rFonts w:ascii="Bookman Old Style" w:hAnsi="Bookman Old Style" w:cs="Arial"/>
                <w:b/>
                <w:bCs/>
              </w:rPr>
            </w:pPr>
            <w:r w:rsidRPr="00D91748">
              <w:rPr>
                <w:rFonts w:ascii="Bookman Old Style" w:hAnsi="Bookman Old Style" w:cs="Arial"/>
                <w:b/>
                <w:bCs/>
              </w:rPr>
              <w:t xml:space="preserve">ARTÍCULO 3°. TRANSITORIO. </w:t>
            </w:r>
          </w:p>
          <w:p w14:paraId="2EC9B683"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El Gobierno Nacional tendrá un plazo de 12 meses contados a partir de la promulgación del presente Acto Legislativo para formular, divulgar e implementar una política pública encaminada en la prevención y tratamiento de enfermedades y condiciones fisiológicas y psicológicas derivadas del consumo crónico y dependiente de cannabis en adultos. </w:t>
            </w:r>
          </w:p>
          <w:p w14:paraId="0B6B9037" w14:textId="77777777" w:rsidR="008A1708" w:rsidRPr="00D91748" w:rsidRDefault="008A1708" w:rsidP="00831062">
            <w:pPr>
              <w:jc w:val="both"/>
              <w:rPr>
                <w:rFonts w:ascii="Bookman Old Style" w:hAnsi="Bookman Old Style"/>
              </w:rPr>
            </w:pPr>
          </w:p>
        </w:tc>
        <w:tc>
          <w:tcPr>
            <w:tcW w:w="3336" w:type="dxa"/>
          </w:tcPr>
          <w:p w14:paraId="3888528A" w14:textId="77777777" w:rsidR="008A1708" w:rsidRPr="00D91748" w:rsidRDefault="008A1708" w:rsidP="00831062">
            <w:pPr>
              <w:pStyle w:val="NormalWeb"/>
              <w:spacing w:line="270" w:lineRule="atLeast"/>
              <w:jc w:val="both"/>
              <w:rPr>
                <w:rFonts w:ascii="Bookman Old Style" w:hAnsi="Bookman Old Style" w:cs="Arial"/>
                <w:sz w:val="22"/>
                <w:szCs w:val="22"/>
              </w:rPr>
            </w:pPr>
            <w:r w:rsidRPr="00D91748">
              <w:rPr>
                <w:rFonts w:ascii="Bookman Old Style" w:hAnsi="Bookman Old Style" w:cs="Arial"/>
                <w:b/>
                <w:bCs/>
                <w:sz w:val="22"/>
                <w:szCs w:val="22"/>
              </w:rPr>
              <w:t>ARTÍCULO 3°. TRANSITORIO.</w:t>
            </w:r>
            <w:r w:rsidRPr="00D91748">
              <w:rPr>
                <w:rFonts w:ascii="Bookman Old Style" w:hAnsi="Bookman Old Style" w:cs="Arial"/>
                <w:sz w:val="22"/>
                <w:szCs w:val="22"/>
              </w:rPr>
              <w:t xml:space="preserve"> El Gobierno Nacional tendrá un plazo de doce (12) meses contados a partir de la promulgación del presente Acto Legislativo, para formular, divulgar e implementar una política pública, encaminada en la prevención y tratamiento de enfermedades y condiciones fisiológicas y psicológicas derivadas del consumo crónico y dependiente de cannabis en adultos. </w:t>
            </w:r>
          </w:p>
          <w:p w14:paraId="60D359B0" w14:textId="77777777" w:rsidR="008A1708" w:rsidRPr="00D91748" w:rsidRDefault="008A1708" w:rsidP="00831062">
            <w:pPr>
              <w:jc w:val="both"/>
              <w:rPr>
                <w:rFonts w:ascii="Bookman Old Style" w:hAnsi="Bookman Old Style"/>
              </w:rPr>
            </w:pPr>
          </w:p>
        </w:tc>
        <w:tc>
          <w:tcPr>
            <w:tcW w:w="3336" w:type="dxa"/>
          </w:tcPr>
          <w:p w14:paraId="2724A1CF" w14:textId="77777777" w:rsidR="008A1708" w:rsidRPr="00D91748" w:rsidRDefault="00BF791A" w:rsidP="00831062">
            <w:pPr>
              <w:jc w:val="both"/>
              <w:rPr>
                <w:rFonts w:ascii="Bookman Old Style" w:hAnsi="Bookman Old Style"/>
              </w:rPr>
            </w:pPr>
            <w:r w:rsidRPr="00D91748">
              <w:rPr>
                <w:rFonts w:ascii="Bookman Old Style" w:hAnsi="Bookman Old Style"/>
              </w:rPr>
              <w:t>No hay diferencias entre los textos aprobados por las cámaras.</w:t>
            </w:r>
          </w:p>
        </w:tc>
      </w:tr>
      <w:tr w:rsidR="008A1708" w:rsidRPr="00D91748" w14:paraId="0156172E" w14:textId="77777777" w:rsidTr="00831062">
        <w:trPr>
          <w:trHeight w:val="354"/>
        </w:trPr>
        <w:tc>
          <w:tcPr>
            <w:tcW w:w="3335" w:type="dxa"/>
          </w:tcPr>
          <w:p w14:paraId="6247A259" w14:textId="77777777" w:rsidR="008A1708" w:rsidRPr="00D91748" w:rsidRDefault="008A1708" w:rsidP="00831062">
            <w:pPr>
              <w:jc w:val="both"/>
              <w:rPr>
                <w:rFonts w:ascii="Bookman Old Style" w:eastAsia="Calibri" w:hAnsi="Bookman Old Style" w:cs="Arial"/>
                <w:bCs/>
              </w:rPr>
            </w:pPr>
            <w:r w:rsidRPr="00D91748">
              <w:rPr>
                <w:rFonts w:ascii="Bookman Old Style" w:hAnsi="Bookman Old Style" w:cs="Arial"/>
                <w:b/>
                <w:bCs/>
              </w:rPr>
              <w:t>ARTÍCULO 4°.</w:t>
            </w:r>
            <w:r w:rsidRPr="00D91748">
              <w:rPr>
                <w:rFonts w:ascii="Bookman Old Style" w:eastAsia="Calibri" w:hAnsi="Bookman Old Style" w:cs="Arial"/>
                <w:bCs/>
              </w:rPr>
              <w:t xml:space="preserve"> Modifíquese el artículo 287 de la Constitución Política, el cual quedará así:</w:t>
            </w:r>
          </w:p>
          <w:p w14:paraId="712C10FD" w14:textId="77777777" w:rsidR="008A1708" w:rsidRPr="00D91748" w:rsidRDefault="008A1708" w:rsidP="00831062">
            <w:pPr>
              <w:jc w:val="both"/>
              <w:rPr>
                <w:rFonts w:ascii="Bookman Old Style" w:eastAsia="Calibri" w:hAnsi="Bookman Old Style" w:cs="Arial"/>
                <w:bCs/>
              </w:rPr>
            </w:pPr>
          </w:p>
          <w:p w14:paraId="42949FE3"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Artículo 287. Las entidades territoriales gozan de autonomía para la gestión de sus intereses, y dentro de los límites de la Constitución y la ley. En tal virtud tendrán los siguientes derechos:</w:t>
            </w:r>
          </w:p>
          <w:p w14:paraId="5AC6A98B" w14:textId="77777777" w:rsidR="008A1708" w:rsidRPr="00D91748" w:rsidRDefault="008A1708" w:rsidP="00831062">
            <w:pPr>
              <w:jc w:val="both"/>
              <w:rPr>
                <w:rFonts w:ascii="Bookman Old Style" w:eastAsia="Calibri" w:hAnsi="Bookman Old Style" w:cs="Arial"/>
                <w:bCs/>
              </w:rPr>
            </w:pPr>
          </w:p>
          <w:p w14:paraId="126330C9"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1. Gobernarse por autoridades propias.</w:t>
            </w:r>
          </w:p>
          <w:p w14:paraId="02534918"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2. Ejercer las competencias que les correspondan.</w:t>
            </w:r>
          </w:p>
          <w:p w14:paraId="5027C86D"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 xml:space="preserve">3. Administrar los recursos y establecer los tributos </w:t>
            </w:r>
            <w:r w:rsidRPr="00D91748">
              <w:rPr>
                <w:rFonts w:ascii="Bookman Old Style" w:eastAsia="Calibri" w:hAnsi="Bookman Old Style" w:cs="Arial"/>
                <w:bCs/>
              </w:rPr>
              <w:lastRenderedPageBreak/>
              <w:t>necesarios para el cumplimiento de sus funciones.</w:t>
            </w:r>
          </w:p>
          <w:p w14:paraId="2140EBF9"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4. Participar en las rentas nacionales.</w:t>
            </w:r>
          </w:p>
          <w:p w14:paraId="52A968ED" w14:textId="77777777" w:rsidR="008A1708" w:rsidRPr="00D91748" w:rsidRDefault="008A1708" w:rsidP="00831062">
            <w:pPr>
              <w:pStyle w:val="NormalWeb"/>
              <w:spacing w:line="270" w:lineRule="atLeast"/>
              <w:jc w:val="both"/>
              <w:rPr>
                <w:rFonts w:ascii="Bookman Old Style" w:hAnsi="Bookman Old Style" w:cs="Arial"/>
                <w:b/>
                <w:bCs/>
                <w:sz w:val="22"/>
                <w:szCs w:val="22"/>
              </w:rPr>
            </w:pPr>
            <w:r w:rsidRPr="00D91748">
              <w:rPr>
                <w:rFonts w:ascii="Bookman Old Style" w:eastAsia="Calibri" w:hAnsi="Bookman Old Style" w:cs="Arial"/>
                <w:bCs/>
                <w:sz w:val="22"/>
                <w:szCs w:val="22"/>
              </w:rPr>
              <w:t>5. Establecer, recaudar y administrar tributos a favor del respectivo orden municipal, distrital o departamental, por las distintas actividades relativas a la distribución o venta de cannabis para uso de adultos, de acuerdo a la ley.</w:t>
            </w:r>
          </w:p>
          <w:p w14:paraId="482B3226" w14:textId="77777777" w:rsidR="008A1708" w:rsidRPr="00D91748" w:rsidRDefault="008A1708" w:rsidP="00831062">
            <w:pPr>
              <w:jc w:val="both"/>
              <w:rPr>
                <w:rFonts w:ascii="Bookman Old Style" w:hAnsi="Bookman Old Style"/>
              </w:rPr>
            </w:pPr>
          </w:p>
        </w:tc>
        <w:tc>
          <w:tcPr>
            <w:tcW w:w="3336" w:type="dxa"/>
          </w:tcPr>
          <w:p w14:paraId="3C2FC4C8" w14:textId="77777777" w:rsidR="008A1708" w:rsidRPr="00D91748" w:rsidRDefault="008A1708" w:rsidP="00831062">
            <w:pPr>
              <w:jc w:val="both"/>
              <w:rPr>
                <w:rFonts w:ascii="Bookman Old Style" w:eastAsia="Calibri" w:hAnsi="Bookman Old Style" w:cs="Arial"/>
                <w:bCs/>
              </w:rPr>
            </w:pPr>
            <w:r w:rsidRPr="00D91748">
              <w:rPr>
                <w:rFonts w:ascii="Bookman Old Style" w:hAnsi="Bookman Old Style" w:cs="Arial"/>
                <w:b/>
                <w:bCs/>
              </w:rPr>
              <w:lastRenderedPageBreak/>
              <w:t>ARTÍCULO 4°.</w:t>
            </w:r>
            <w:r w:rsidRPr="00D91748">
              <w:rPr>
                <w:rFonts w:ascii="Bookman Old Style" w:eastAsia="Calibri" w:hAnsi="Bookman Old Style" w:cs="Arial"/>
                <w:bCs/>
              </w:rPr>
              <w:t xml:space="preserve"> Modifíquese el artículo 287 de la Constitución Política, el cual quedará así:</w:t>
            </w:r>
          </w:p>
          <w:p w14:paraId="0F9CF27E" w14:textId="77777777" w:rsidR="008A1708" w:rsidRPr="00D91748" w:rsidRDefault="008A1708" w:rsidP="00831062">
            <w:pPr>
              <w:jc w:val="both"/>
              <w:rPr>
                <w:rFonts w:ascii="Bookman Old Style" w:eastAsia="Calibri" w:hAnsi="Bookman Old Style" w:cs="Arial"/>
                <w:bCs/>
              </w:rPr>
            </w:pPr>
          </w:p>
          <w:p w14:paraId="130F8A57"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Artículo 287. Las entidades territoriales gozan de autonomía para la gestión de sus intereses, y dentro de los límites de la Constitución y la ley. En tal virtud tendrán los siguientes derechos:</w:t>
            </w:r>
          </w:p>
          <w:p w14:paraId="563AF8C8" w14:textId="77777777" w:rsidR="008A1708" w:rsidRPr="00D91748" w:rsidRDefault="008A1708" w:rsidP="00831062">
            <w:pPr>
              <w:jc w:val="both"/>
              <w:rPr>
                <w:rFonts w:ascii="Bookman Old Style" w:eastAsia="Calibri" w:hAnsi="Bookman Old Style" w:cs="Arial"/>
                <w:bCs/>
              </w:rPr>
            </w:pPr>
          </w:p>
          <w:p w14:paraId="2F66EDF1"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1. Gobernarse por autoridades propias.</w:t>
            </w:r>
          </w:p>
          <w:p w14:paraId="1AC315DD"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2. Ejercer las competencias que les correspondan.</w:t>
            </w:r>
          </w:p>
          <w:p w14:paraId="492A748F"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 xml:space="preserve">3. Administrar los recursos y establecer los tributos </w:t>
            </w:r>
            <w:r w:rsidRPr="00D91748">
              <w:rPr>
                <w:rFonts w:ascii="Bookman Old Style" w:eastAsia="Calibri" w:hAnsi="Bookman Old Style" w:cs="Arial"/>
                <w:bCs/>
              </w:rPr>
              <w:lastRenderedPageBreak/>
              <w:t>necesarios para el cumplimiento de sus funciones.</w:t>
            </w:r>
          </w:p>
          <w:p w14:paraId="7CC67168" w14:textId="77777777" w:rsidR="008A1708" w:rsidRPr="00D91748" w:rsidRDefault="008A1708" w:rsidP="00831062">
            <w:pPr>
              <w:jc w:val="both"/>
              <w:rPr>
                <w:rFonts w:ascii="Bookman Old Style" w:eastAsia="Calibri" w:hAnsi="Bookman Old Style" w:cs="Arial"/>
                <w:bCs/>
              </w:rPr>
            </w:pPr>
            <w:r w:rsidRPr="00D91748">
              <w:rPr>
                <w:rFonts w:ascii="Bookman Old Style" w:eastAsia="Calibri" w:hAnsi="Bookman Old Style" w:cs="Arial"/>
                <w:bCs/>
              </w:rPr>
              <w:t>4. Participar en las rentas nacionales.</w:t>
            </w:r>
          </w:p>
          <w:p w14:paraId="63F98C5A" w14:textId="77777777" w:rsidR="008A1708" w:rsidRPr="00D91748" w:rsidRDefault="008A1708" w:rsidP="00831062">
            <w:pPr>
              <w:pStyle w:val="NormalWeb"/>
              <w:spacing w:line="270" w:lineRule="atLeast"/>
              <w:jc w:val="both"/>
              <w:rPr>
                <w:rFonts w:ascii="Bookman Old Style" w:hAnsi="Bookman Old Style" w:cs="Arial"/>
                <w:b/>
                <w:bCs/>
                <w:sz w:val="22"/>
                <w:szCs w:val="22"/>
              </w:rPr>
            </w:pPr>
            <w:r w:rsidRPr="00D91748">
              <w:rPr>
                <w:rFonts w:ascii="Bookman Old Style" w:eastAsia="Calibri" w:hAnsi="Bookman Old Style" w:cs="Arial"/>
                <w:bCs/>
                <w:sz w:val="22"/>
                <w:szCs w:val="22"/>
              </w:rPr>
              <w:t>5. Establecer, recaudar y administrar tributos a favor del respectivo orden municipal, distrital o departamental, por las distintas actividades relativas a la distribución o venta de cannabis para uso de adultos, de acuerdo a la ley.</w:t>
            </w:r>
          </w:p>
          <w:p w14:paraId="778A5659" w14:textId="77777777" w:rsidR="008A1708" w:rsidRPr="00D91748" w:rsidRDefault="008A1708" w:rsidP="00831062">
            <w:pPr>
              <w:jc w:val="both"/>
              <w:rPr>
                <w:rFonts w:ascii="Bookman Old Style" w:hAnsi="Bookman Old Style"/>
              </w:rPr>
            </w:pPr>
          </w:p>
        </w:tc>
        <w:tc>
          <w:tcPr>
            <w:tcW w:w="3336" w:type="dxa"/>
          </w:tcPr>
          <w:p w14:paraId="111F85A0" w14:textId="77777777" w:rsidR="008A1708" w:rsidRPr="00D91748" w:rsidRDefault="008A1708" w:rsidP="00831062">
            <w:pPr>
              <w:jc w:val="both"/>
              <w:rPr>
                <w:rFonts w:ascii="Bookman Old Style" w:hAnsi="Bookman Old Style"/>
              </w:rPr>
            </w:pPr>
            <w:r w:rsidRPr="00D91748">
              <w:rPr>
                <w:rFonts w:ascii="Bookman Old Style" w:hAnsi="Bookman Old Style"/>
              </w:rPr>
              <w:lastRenderedPageBreak/>
              <w:t>No hay diferencias entre los textos aprobados por las cámaras.</w:t>
            </w:r>
          </w:p>
        </w:tc>
      </w:tr>
      <w:tr w:rsidR="008A1708" w:rsidRPr="00D91748" w14:paraId="298735C5" w14:textId="77777777" w:rsidTr="00831062">
        <w:trPr>
          <w:trHeight w:val="354"/>
        </w:trPr>
        <w:tc>
          <w:tcPr>
            <w:tcW w:w="3335" w:type="dxa"/>
          </w:tcPr>
          <w:p w14:paraId="5EC40132" w14:textId="77777777" w:rsidR="008A1708" w:rsidRPr="00D91748" w:rsidRDefault="008A1708" w:rsidP="00831062">
            <w:pPr>
              <w:pStyle w:val="NormalWeb"/>
              <w:spacing w:line="270" w:lineRule="atLeast"/>
              <w:jc w:val="both"/>
              <w:rPr>
                <w:rFonts w:ascii="Bookman Old Style" w:eastAsia="Calibri" w:hAnsi="Bookman Old Style" w:cs="Arial"/>
                <w:bCs/>
                <w:sz w:val="22"/>
                <w:szCs w:val="22"/>
              </w:rPr>
            </w:pPr>
            <w:r w:rsidRPr="00D91748">
              <w:rPr>
                <w:rFonts w:ascii="Bookman Old Style" w:hAnsi="Bookman Old Style" w:cs="Arial"/>
                <w:b/>
                <w:bCs/>
                <w:sz w:val="22"/>
                <w:szCs w:val="22"/>
              </w:rPr>
              <w:t xml:space="preserve">ARTÍCULO 5. </w:t>
            </w:r>
            <w:r w:rsidRPr="00D91748">
              <w:rPr>
                <w:rFonts w:ascii="Bookman Old Style" w:eastAsia="Calibri" w:hAnsi="Bookman Old Style" w:cs="Arial"/>
                <w:bCs/>
                <w:sz w:val="22"/>
                <w:szCs w:val="22"/>
              </w:rPr>
              <w:t>Modifíquese el artículo 317 de la Constitución Política, el cual quedará así:</w:t>
            </w:r>
          </w:p>
          <w:p w14:paraId="206ED1EE" w14:textId="77777777" w:rsidR="008A1708" w:rsidRPr="00D91748" w:rsidRDefault="008A1708" w:rsidP="00831062">
            <w:pPr>
              <w:jc w:val="both"/>
              <w:rPr>
                <w:rFonts w:ascii="Bookman Old Style" w:hAnsi="Bookman Old Style"/>
              </w:rPr>
            </w:pPr>
            <w:r w:rsidRPr="00D91748">
              <w:rPr>
                <w:rFonts w:ascii="Bookman Old Style" w:hAnsi="Bookman Old Style"/>
                <w:b/>
                <w:bCs/>
              </w:rPr>
              <w:t>Artículo 317°.</w:t>
            </w:r>
            <w:r w:rsidRPr="00D91748">
              <w:rPr>
                <w:rFonts w:ascii="Bookman Old Style" w:hAnsi="Bookman Old Style"/>
              </w:rPr>
              <w:t xml:space="preserve"> Solo los municipios podrán gravar la propiedad inmueble. Lo anterior no obsta para que otras entidades impongan contribución de valorización.</w:t>
            </w:r>
          </w:p>
          <w:p w14:paraId="56785294" w14:textId="77777777" w:rsidR="008A1708" w:rsidRPr="00D91748" w:rsidRDefault="008A1708" w:rsidP="00831062">
            <w:pPr>
              <w:jc w:val="both"/>
              <w:rPr>
                <w:rFonts w:ascii="Bookman Old Style" w:hAnsi="Bookman Old Style"/>
              </w:rPr>
            </w:pPr>
          </w:p>
          <w:p w14:paraId="6104DDAB" w14:textId="77777777" w:rsidR="008A1708" w:rsidRPr="00D91748" w:rsidRDefault="008A1708" w:rsidP="00831062">
            <w:pPr>
              <w:jc w:val="both"/>
              <w:rPr>
                <w:rFonts w:ascii="Bookman Old Style" w:hAnsi="Bookman Old Style"/>
              </w:rPr>
            </w:pPr>
            <w:r w:rsidRPr="00D91748">
              <w:rPr>
                <w:rFonts w:ascii="Bookman Old Style" w:hAnsi="Bookman Old Style"/>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14:paraId="12B8C429" w14:textId="77777777" w:rsidR="008A1708" w:rsidRPr="00D91748" w:rsidRDefault="008A1708" w:rsidP="00831062">
            <w:pPr>
              <w:jc w:val="both"/>
              <w:rPr>
                <w:rFonts w:ascii="Bookman Old Style" w:hAnsi="Bookman Old Style"/>
              </w:rPr>
            </w:pPr>
          </w:p>
          <w:p w14:paraId="554A26F8"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La Ley Regulará los impuestos que decreten los municipios y distritos a su favor, previa aprobación de los concejos, por </w:t>
            </w:r>
            <w:proofErr w:type="spellStart"/>
            <w:r w:rsidRPr="00D91748">
              <w:rPr>
                <w:rFonts w:ascii="Bookman Old Style" w:hAnsi="Bookman Old Style"/>
              </w:rPr>
              <w:t>le</w:t>
            </w:r>
            <w:proofErr w:type="spellEnd"/>
            <w:r w:rsidRPr="00D91748">
              <w:rPr>
                <w:rFonts w:ascii="Bookman Old Style" w:hAnsi="Bookman Old Style"/>
              </w:rPr>
              <w:t xml:space="preserve"> uso de inmuebles en actividades </w:t>
            </w:r>
            <w:r w:rsidRPr="00D91748">
              <w:rPr>
                <w:rFonts w:ascii="Bookman Old Style" w:hAnsi="Bookman Old Style"/>
              </w:rPr>
              <w:lastRenderedPageBreak/>
              <w:t xml:space="preserve">relativas al cannabis de uso para adultos. Estos impuestos tendrán como destinación los sistemas de salud, educación y el sector agricultura. </w:t>
            </w:r>
          </w:p>
          <w:p w14:paraId="18C5DC47" w14:textId="77777777" w:rsidR="008A1708" w:rsidRPr="00D91748" w:rsidRDefault="008A1708" w:rsidP="00831062">
            <w:pPr>
              <w:jc w:val="both"/>
              <w:rPr>
                <w:rFonts w:ascii="Bookman Old Style" w:hAnsi="Bookman Old Style"/>
              </w:rPr>
            </w:pPr>
          </w:p>
        </w:tc>
        <w:tc>
          <w:tcPr>
            <w:tcW w:w="3336" w:type="dxa"/>
          </w:tcPr>
          <w:p w14:paraId="79A03DA5" w14:textId="77777777" w:rsidR="008A1708" w:rsidRPr="00D91748" w:rsidRDefault="008A1708" w:rsidP="00831062">
            <w:pPr>
              <w:pStyle w:val="NormalWeb"/>
              <w:spacing w:line="270" w:lineRule="atLeast"/>
              <w:jc w:val="both"/>
              <w:rPr>
                <w:rFonts w:ascii="Bookman Old Style" w:eastAsia="Calibri" w:hAnsi="Bookman Old Style" w:cs="Arial"/>
                <w:bCs/>
                <w:sz w:val="22"/>
                <w:szCs w:val="22"/>
              </w:rPr>
            </w:pPr>
            <w:r w:rsidRPr="00D91748">
              <w:rPr>
                <w:rFonts w:ascii="Bookman Old Style" w:hAnsi="Bookman Old Style" w:cs="Arial"/>
                <w:b/>
                <w:bCs/>
                <w:sz w:val="22"/>
                <w:szCs w:val="22"/>
              </w:rPr>
              <w:lastRenderedPageBreak/>
              <w:t xml:space="preserve">ARTÍCULO 5. </w:t>
            </w:r>
            <w:r w:rsidRPr="00D91748">
              <w:rPr>
                <w:rFonts w:ascii="Bookman Old Style" w:eastAsia="Calibri" w:hAnsi="Bookman Old Style" w:cs="Arial"/>
                <w:bCs/>
                <w:sz w:val="22"/>
                <w:szCs w:val="22"/>
              </w:rPr>
              <w:t>Modifíquese el artículo 317 de la Constitución Política, el cual quedará así:</w:t>
            </w:r>
          </w:p>
          <w:p w14:paraId="1369E971" w14:textId="77777777" w:rsidR="008A1708" w:rsidRPr="00D91748" w:rsidRDefault="008A1708" w:rsidP="00831062">
            <w:pPr>
              <w:pStyle w:val="NormalWeb"/>
              <w:spacing w:line="270" w:lineRule="atLeast"/>
              <w:jc w:val="both"/>
              <w:rPr>
                <w:rFonts w:ascii="Bookman Old Style" w:hAnsi="Bookman Old Style" w:cs="Arial"/>
                <w:sz w:val="22"/>
                <w:szCs w:val="22"/>
              </w:rPr>
            </w:pPr>
            <w:r w:rsidRPr="00D91748">
              <w:rPr>
                <w:rFonts w:ascii="Bookman Old Style" w:hAnsi="Bookman Old Style" w:cs="Arial"/>
                <w:b/>
                <w:bCs/>
                <w:sz w:val="22"/>
                <w:szCs w:val="22"/>
              </w:rPr>
              <w:t>Artículo 317.</w:t>
            </w:r>
            <w:r w:rsidRPr="00D91748">
              <w:rPr>
                <w:rFonts w:ascii="Bookman Old Style" w:hAnsi="Bookman Old Style" w:cs="Arial"/>
                <w:sz w:val="22"/>
                <w:szCs w:val="22"/>
              </w:rPr>
              <w:t xml:space="preserve"> Solo los municipios podrán gravar la propiedad inmueble. Lo anterior no obsta para que otras entidades impongan contribución de valorización. </w:t>
            </w:r>
          </w:p>
          <w:p w14:paraId="612D4953" w14:textId="77777777" w:rsidR="008A1708" w:rsidRPr="00D91748" w:rsidRDefault="008A1708" w:rsidP="00831062">
            <w:pPr>
              <w:pStyle w:val="NormalWeb"/>
              <w:spacing w:line="270" w:lineRule="atLeast"/>
              <w:jc w:val="both"/>
              <w:rPr>
                <w:rFonts w:ascii="Bookman Old Style" w:hAnsi="Bookman Old Style" w:cs="Arial"/>
                <w:sz w:val="22"/>
                <w:szCs w:val="22"/>
              </w:rPr>
            </w:pPr>
            <w:r w:rsidRPr="00D91748">
              <w:rPr>
                <w:rFonts w:ascii="Bookman Old Style" w:hAnsi="Bookman Old Style" w:cs="Arial"/>
                <w:sz w:val="22"/>
                <w:szCs w:val="22"/>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14:paraId="2162D49D" w14:textId="77777777" w:rsidR="008A1708" w:rsidRPr="00D91748" w:rsidRDefault="008A1708" w:rsidP="00831062">
            <w:pPr>
              <w:jc w:val="both"/>
              <w:rPr>
                <w:rFonts w:ascii="Bookman Old Style" w:hAnsi="Bookman Old Style" w:cs="Arial"/>
              </w:rPr>
            </w:pPr>
            <w:r w:rsidRPr="00D91748">
              <w:rPr>
                <w:rFonts w:ascii="Bookman Old Style" w:hAnsi="Bookman Old Style" w:cs="Arial"/>
              </w:rPr>
              <w:t xml:space="preserve">La ley regulará los impuestos que decreten los municipios y distritos a su favor, previa aprobación de los concejos, por el uso de inmuebles en </w:t>
            </w:r>
            <w:r w:rsidRPr="00D91748">
              <w:rPr>
                <w:rFonts w:ascii="Bookman Old Style" w:hAnsi="Bookman Old Style" w:cs="Arial"/>
              </w:rPr>
              <w:lastRenderedPageBreak/>
              <w:t>actividades relativas al cannabis de uso para adultos. Estos impuestos tendrán como destinación los sistemas de salud y educación, y el sector agricultura.</w:t>
            </w:r>
          </w:p>
          <w:p w14:paraId="67834E3E" w14:textId="77777777" w:rsidR="008A1708" w:rsidRPr="00D91748" w:rsidRDefault="008A1708" w:rsidP="00831062">
            <w:pPr>
              <w:jc w:val="both"/>
              <w:rPr>
                <w:rFonts w:ascii="Bookman Old Style" w:hAnsi="Bookman Old Style"/>
              </w:rPr>
            </w:pPr>
          </w:p>
        </w:tc>
        <w:tc>
          <w:tcPr>
            <w:tcW w:w="3336" w:type="dxa"/>
          </w:tcPr>
          <w:p w14:paraId="335D9E1B" w14:textId="77777777" w:rsidR="008A1708" w:rsidRPr="00D91748" w:rsidRDefault="008A1708" w:rsidP="00831062">
            <w:pPr>
              <w:jc w:val="both"/>
              <w:rPr>
                <w:rFonts w:ascii="Bookman Old Style" w:hAnsi="Bookman Old Style"/>
              </w:rPr>
            </w:pPr>
            <w:r w:rsidRPr="00D91748">
              <w:rPr>
                <w:rFonts w:ascii="Bookman Old Style" w:hAnsi="Bookman Old Style"/>
              </w:rPr>
              <w:lastRenderedPageBreak/>
              <w:t>No hay diferencias entre los textos aprobados por las cámaras.</w:t>
            </w:r>
          </w:p>
        </w:tc>
      </w:tr>
      <w:tr w:rsidR="008A1708" w:rsidRPr="00D91748" w14:paraId="2FEE5E21" w14:textId="77777777" w:rsidTr="00831062">
        <w:trPr>
          <w:trHeight w:val="354"/>
        </w:trPr>
        <w:tc>
          <w:tcPr>
            <w:tcW w:w="3335" w:type="dxa"/>
          </w:tcPr>
          <w:p w14:paraId="432696BD" w14:textId="77777777" w:rsidR="008A1708" w:rsidRPr="00D91748" w:rsidRDefault="008A1708" w:rsidP="00831062">
            <w:pPr>
              <w:jc w:val="both"/>
              <w:rPr>
                <w:rFonts w:ascii="Bookman Old Style" w:hAnsi="Bookman Old Style" w:cs="Arial"/>
                <w:b/>
                <w:bCs/>
              </w:rPr>
            </w:pPr>
            <w:r w:rsidRPr="00D91748">
              <w:rPr>
                <w:rFonts w:ascii="Bookman Old Style" w:hAnsi="Bookman Old Style" w:cs="Arial"/>
                <w:b/>
                <w:bCs/>
              </w:rPr>
              <w:t xml:space="preserve">ARTÍCULO 6. TRANSITORIO.  </w:t>
            </w:r>
          </w:p>
          <w:p w14:paraId="3A71B823" w14:textId="77777777" w:rsidR="008A1708" w:rsidRPr="00D91748" w:rsidRDefault="008A1708" w:rsidP="00831062">
            <w:pPr>
              <w:jc w:val="both"/>
              <w:rPr>
                <w:rFonts w:ascii="Bookman Old Style" w:hAnsi="Bookman Old Style"/>
              </w:rPr>
            </w:pPr>
          </w:p>
          <w:p w14:paraId="37B1EAA3" w14:textId="77777777" w:rsidR="008A1708" w:rsidRPr="00D91748" w:rsidRDefault="008A1708" w:rsidP="00831062">
            <w:pPr>
              <w:jc w:val="both"/>
              <w:rPr>
                <w:rFonts w:ascii="Bookman Old Style" w:hAnsi="Bookman Old Style"/>
              </w:rPr>
            </w:pPr>
            <w:r w:rsidRPr="00D91748">
              <w:rPr>
                <w:rFonts w:ascii="Bookman Old Style" w:hAnsi="Bookman Old Style"/>
              </w:rPr>
              <w:t xml:space="preserve">El Congreso de la República expedirá la Ley que reglamenta y autoriza a las entidades territoriales la imposición de los tributos señalados en el presente Acto Legislativo dentro de los doce (12) meses siguientes a su entrada en vigencia. </w:t>
            </w:r>
          </w:p>
          <w:p w14:paraId="3F83337A" w14:textId="77777777" w:rsidR="008A1708" w:rsidRPr="00D91748" w:rsidRDefault="008A1708" w:rsidP="00831062">
            <w:pPr>
              <w:jc w:val="both"/>
              <w:rPr>
                <w:rFonts w:ascii="Bookman Old Style" w:hAnsi="Bookman Old Style"/>
              </w:rPr>
            </w:pPr>
          </w:p>
        </w:tc>
        <w:tc>
          <w:tcPr>
            <w:tcW w:w="3336" w:type="dxa"/>
          </w:tcPr>
          <w:p w14:paraId="275A9501" w14:textId="77777777" w:rsidR="008A1708" w:rsidRPr="00D91748" w:rsidRDefault="008A1708" w:rsidP="00831062">
            <w:pPr>
              <w:jc w:val="both"/>
              <w:rPr>
                <w:rFonts w:ascii="Bookman Old Style" w:hAnsi="Bookman Old Style" w:cs="Arial"/>
                <w:b/>
                <w:bCs/>
              </w:rPr>
            </w:pPr>
            <w:r w:rsidRPr="00D91748">
              <w:rPr>
                <w:rFonts w:ascii="Bookman Old Style" w:hAnsi="Bookman Old Style" w:cs="Arial"/>
                <w:b/>
                <w:bCs/>
              </w:rPr>
              <w:t xml:space="preserve">ARTÍCULO 6. TRANSITORIO. </w:t>
            </w:r>
          </w:p>
          <w:p w14:paraId="59131E5B" w14:textId="77777777" w:rsidR="008A1708" w:rsidRPr="00D91748" w:rsidRDefault="008A1708" w:rsidP="00831062">
            <w:pPr>
              <w:jc w:val="both"/>
              <w:rPr>
                <w:rFonts w:ascii="Bookman Old Style" w:hAnsi="Bookman Old Style" w:cs="Arial"/>
                <w:b/>
                <w:bCs/>
              </w:rPr>
            </w:pPr>
          </w:p>
          <w:p w14:paraId="4D805E7A" w14:textId="77777777" w:rsidR="008A1708" w:rsidRPr="00D91748" w:rsidRDefault="008A1708" w:rsidP="00831062">
            <w:pPr>
              <w:jc w:val="both"/>
              <w:rPr>
                <w:rFonts w:ascii="Bookman Old Style" w:hAnsi="Bookman Old Style" w:cs="Arial"/>
              </w:rPr>
            </w:pPr>
            <w:r w:rsidRPr="00D91748">
              <w:rPr>
                <w:rFonts w:ascii="Bookman Old Style" w:hAnsi="Bookman Old Style" w:cs="Arial"/>
              </w:rPr>
              <w:t>El Congreso de la</w:t>
            </w:r>
            <w:r w:rsidRPr="00D91748">
              <w:rPr>
                <w:rFonts w:ascii="Bookman Old Style" w:hAnsi="Bookman Old Style" w:cs="Arial"/>
                <w:b/>
                <w:bCs/>
              </w:rPr>
              <w:t xml:space="preserve"> </w:t>
            </w:r>
            <w:r w:rsidRPr="00D91748">
              <w:rPr>
                <w:rFonts w:ascii="Bookman Old Style" w:hAnsi="Bookman Old Style" w:cs="Arial"/>
              </w:rPr>
              <w:t>República expedirá la ley que reglamenta y autoriza a las entidades territoriales la imposición de los tributos señalados en el presente Acto Legislativo, dentro de los doce (12) meses siguientes a su entrada en vigencia.</w:t>
            </w:r>
          </w:p>
          <w:p w14:paraId="50B54ADB" w14:textId="77777777" w:rsidR="008A1708" w:rsidRPr="00D91748" w:rsidRDefault="008A1708" w:rsidP="00831062">
            <w:pPr>
              <w:jc w:val="both"/>
              <w:rPr>
                <w:rFonts w:ascii="Bookman Old Style" w:hAnsi="Bookman Old Style"/>
              </w:rPr>
            </w:pPr>
          </w:p>
        </w:tc>
        <w:tc>
          <w:tcPr>
            <w:tcW w:w="3336" w:type="dxa"/>
          </w:tcPr>
          <w:p w14:paraId="560599E9" w14:textId="77777777" w:rsidR="008A1708" w:rsidRPr="00D91748" w:rsidRDefault="008A1708" w:rsidP="00831062">
            <w:pPr>
              <w:jc w:val="both"/>
              <w:rPr>
                <w:rFonts w:ascii="Bookman Old Style" w:hAnsi="Bookman Old Style"/>
              </w:rPr>
            </w:pPr>
            <w:r w:rsidRPr="00D91748">
              <w:rPr>
                <w:rFonts w:ascii="Bookman Old Style" w:hAnsi="Bookman Old Style"/>
              </w:rPr>
              <w:t>No hay diferencias entre los textos aprobados por las cámaras.</w:t>
            </w:r>
          </w:p>
        </w:tc>
      </w:tr>
      <w:tr w:rsidR="008A1708" w:rsidRPr="00D91748" w14:paraId="1F410EEF" w14:textId="77777777" w:rsidTr="00831062">
        <w:trPr>
          <w:trHeight w:val="354"/>
        </w:trPr>
        <w:tc>
          <w:tcPr>
            <w:tcW w:w="3335" w:type="dxa"/>
          </w:tcPr>
          <w:p w14:paraId="669DF3B3" w14:textId="77777777" w:rsidR="008A1708" w:rsidRPr="00D91748" w:rsidRDefault="008A1708" w:rsidP="00831062">
            <w:pPr>
              <w:jc w:val="both"/>
              <w:rPr>
                <w:rFonts w:ascii="Bookman Old Style" w:hAnsi="Bookman Old Style" w:cs="Arial"/>
              </w:rPr>
            </w:pPr>
            <w:r w:rsidRPr="00D91748">
              <w:rPr>
                <w:rFonts w:ascii="Bookman Old Style" w:hAnsi="Bookman Old Style" w:cs="Arial"/>
                <w:b/>
                <w:bCs/>
              </w:rPr>
              <w:t>ARTÍCULO 7°. VIGENCIA.</w:t>
            </w:r>
            <w:r w:rsidRPr="00D91748">
              <w:rPr>
                <w:rFonts w:ascii="Bookman Old Style" w:hAnsi="Bookman Old Style" w:cs="Arial"/>
              </w:rPr>
              <w:t> El presente Acto Legislativo rige a partir de su promulgación. El artículo 1 entrará en vigencia doce (12) meses después de la promulgación de este acto legislativo.</w:t>
            </w:r>
          </w:p>
          <w:p w14:paraId="549B0074" w14:textId="77777777" w:rsidR="008A1708" w:rsidRPr="00D91748" w:rsidRDefault="008A1708" w:rsidP="00831062">
            <w:pPr>
              <w:jc w:val="both"/>
              <w:rPr>
                <w:rFonts w:ascii="Bookman Old Style" w:hAnsi="Bookman Old Style"/>
              </w:rPr>
            </w:pPr>
          </w:p>
        </w:tc>
        <w:tc>
          <w:tcPr>
            <w:tcW w:w="3336" w:type="dxa"/>
          </w:tcPr>
          <w:p w14:paraId="596D4798" w14:textId="77777777" w:rsidR="008A1708" w:rsidRPr="00D91748" w:rsidRDefault="008A1708" w:rsidP="00831062">
            <w:pPr>
              <w:jc w:val="both"/>
              <w:rPr>
                <w:rFonts w:ascii="Bookman Old Style" w:hAnsi="Bookman Old Style" w:cs="Arial"/>
              </w:rPr>
            </w:pPr>
            <w:r w:rsidRPr="00D91748">
              <w:rPr>
                <w:rFonts w:ascii="Bookman Old Style" w:hAnsi="Bookman Old Style" w:cs="Arial"/>
                <w:b/>
                <w:bCs/>
              </w:rPr>
              <w:t>ARTÍCULO 7°. VIGENCIA.</w:t>
            </w:r>
            <w:r w:rsidRPr="00D91748">
              <w:rPr>
                <w:rFonts w:ascii="Bookman Old Style" w:hAnsi="Bookman Old Style" w:cs="Arial"/>
              </w:rPr>
              <w:t> El presente Acto Legislativo rige a partir de su promulgación. El artículo 1 entrará en vigencia seis (6) meses después de la promulgación de este acto legislativo.</w:t>
            </w:r>
          </w:p>
          <w:p w14:paraId="506069CF" w14:textId="77777777" w:rsidR="008A1708" w:rsidRPr="00D91748" w:rsidRDefault="008A1708" w:rsidP="00831062">
            <w:pPr>
              <w:jc w:val="both"/>
              <w:rPr>
                <w:rFonts w:ascii="Bookman Old Style" w:hAnsi="Bookman Old Style"/>
              </w:rPr>
            </w:pPr>
          </w:p>
        </w:tc>
        <w:tc>
          <w:tcPr>
            <w:tcW w:w="3336" w:type="dxa"/>
          </w:tcPr>
          <w:p w14:paraId="1DC81101" w14:textId="77777777" w:rsidR="008A1708" w:rsidRPr="00D91748" w:rsidRDefault="008A1708" w:rsidP="00295256">
            <w:pPr>
              <w:jc w:val="both"/>
              <w:rPr>
                <w:rFonts w:ascii="Bookman Old Style" w:hAnsi="Bookman Old Style"/>
              </w:rPr>
            </w:pPr>
            <w:r w:rsidRPr="00D91748">
              <w:rPr>
                <w:rFonts w:ascii="Bookman Old Style" w:hAnsi="Bookman Old Style"/>
              </w:rPr>
              <w:t xml:space="preserve">Se acoge el texto de </w:t>
            </w:r>
            <w:r w:rsidR="00295256">
              <w:rPr>
                <w:rFonts w:ascii="Bookman Old Style" w:hAnsi="Bookman Old Style"/>
              </w:rPr>
              <w:t>Cámara</w:t>
            </w:r>
          </w:p>
        </w:tc>
      </w:tr>
    </w:tbl>
    <w:p w14:paraId="1DE6A9D0" w14:textId="77777777" w:rsidR="008A1708" w:rsidRPr="00D91748" w:rsidRDefault="008A1708" w:rsidP="008A1708">
      <w:pPr>
        <w:jc w:val="both"/>
        <w:rPr>
          <w:rFonts w:ascii="Bookman Old Style" w:hAnsi="Bookman Old Style"/>
        </w:rPr>
      </w:pPr>
    </w:p>
    <w:p w14:paraId="6112E42A" w14:textId="7E876CC3" w:rsidR="00857A47" w:rsidRDefault="00857A47" w:rsidP="00857A47">
      <w:pPr>
        <w:rPr>
          <w:rFonts w:ascii="Bookman Old Style" w:hAnsi="Bookman Old Style" w:cs="Arial"/>
          <w:bCs/>
        </w:rPr>
      </w:pPr>
      <w:r>
        <w:rPr>
          <w:rFonts w:ascii="Bookman Old Style" w:hAnsi="Bookman Old Style" w:cs="Arial"/>
          <w:bCs/>
        </w:rPr>
        <w:t xml:space="preserve">Del Representante y la Senadora, </w:t>
      </w:r>
    </w:p>
    <w:p w14:paraId="1288D945" w14:textId="12EC82AD" w:rsidR="00857A47" w:rsidRDefault="00397DCE" w:rsidP="00D91748">
      <w:pPr>
        <w:jc w:val="center"/>
        <w:rPr>
          <w:rFonts w:ascii="Bookman Old Style" w:hAnsi="Bookman Old Style" w:cs="Arial"/>
          <w:bCs/>
        </w:rPr>
      </w:pPr>
      <w:r>
        <w:rPr>
          <w:noProof/>
          <w:lang w:eastAsia="es-CO"/>
        </w:rPr>
        <w:drawing>
          <wp:anchor distT="0" distB="0" distL="114300" distR="114300" simplePos="0" relativeHeight="251659264" behindDoc="1" locked="0" layoutInCell="1" allowOverlap="1" wp14:anchorId="2CD57AB2" wp14:editId="1A20E75E">
            <wp:simplePos x="0" y="0"/>
            <wp:positionH relativeFrom="column">
              <wp:posOffset>-47625</wp:posOffset>
            </wp:positionH>
            <wp:positionV relativeFrom="paragraph">
              <wp:posOffset>81280</wp:posOffset>
            </wp:positionV>
            <wp:extent cx="2648951" cy="987859"/>
            <wp:effectExtent l="38100" t="76200" r="37465" b="793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jpg"/>
                    <pic:cNvPicPr/>
                  </pic:nvPicPr>
                  <pic:blipFill>
                    <a:blip r:embed="rId6" cstate="print">
                      <a:extLst>
                        <a:ext uri="{28A0092B-C50C-407E-A947-70E740481C1C}">
                          <a14:useLocalDpi xmlns:a14="http://schemas.microsoft.com/office/drawing/2010/main" val="0"/>
                        </a:ext>
                      </a:extLst>
                    </a:blip>
                    <a:stretch>
                      <a:fillRect/>
                    </a:stretch>
                  </pic:blipFill>
                  <pic:spPr>
                    <a:xfrm rot="187286">
                      <a:off x="0" y="0"/>
                      <a:ext cx="2648951" cy="987859"/>
                    </a:xfrm>
                    <a:prstGeom prst="rect">
                      <a:avLst/>
                    </a:prstGeom>
                  </pic:spPr>
                </pic:pic>
              </a:graphicData>
            </a:graphic>
            <wp14:sizeRelH relativeFrom="page">
              <wp14:pctWidth>0</wp14:pctWidth>
            </wp14:sizeRelH>
            <wp14:sizeRelV relativeFrom="page">
              <wp14:pctHeight>0</wp14:pctHeight>
            </wp14:sizeRelV>
          </wp:anchor>
        </w:drawing>
      </w:r>
    </w:p>
    <w:p w14:paraId="5AD766D7" w14:textId="7F02365D" w:rsidR="00857A47" w:rsidRDefault="00857A47" w:rsidP="00D91748">
      <w:pPr>
        <w:jc w:val="center"/>
        <w:rPr>
          <w:rFonts w:ascii="Bookman Old Style" w:hAnsi="Bookman Old Style" w:cs="Arial"/>
          <w:bCs/>
        </w:rPr>
      </w:pPr>
      <w:r>
        <w:rPr>
          <w:noProof/>
          <w:bdr w:val="none" w:sz="0" w:space="0" w:color="auto" w:frame="1"/>
          <w:lang w:eastAsia="es-CO"/>
        </w:rPr>
        <w:t xml:space="preserve">                             </w:t>
      </w:r>
      <w:r w:rsidR="00397DCE">
        <w:rPr>
          <w:noProof/>
          <w:bdr w:val="none" w:sz="0" w:space="0" w:color="auto" w:frame="1"/>
          <w:lang w:eastAsia="es-CO"/>
        </w:rPr>
        <w:t xml:space="preserve">                                     </w:t>
      </w:r>
      <w:r>
        <w:rPr>
          <w:noProof/>
          <w:bdr w:val="none" w:sz="0" w:space="0" w:color="auto" w:frame="1"/>
          <w:lang w:eastAsia="es-CO"/>
        </w:rPr>
        <w:drawing>
          <wp:inline distT="0" distB="0" distL="0" distR="0" wp14:anchorId="6ABC0D52" wp14:editId="2C02F09E">
            <wp:extent cx="1828800" cy="7098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4419" cy="735276"/>
                    </a:xfrm>
                    <a:prstGeom prst="rect">
                      <a:avLst/>
                    </a:prstGeom>
                    <a:noFill/>
                    <a:ln>
                      <a:noFill/>
                    </a:ln>
                  </pic:spPr>
                </pic:pic>
              </a:graphicData>
            </a:graphic>
          </wp:inline>
        </w:drawing>
      </w:r>
    </w:p>
    <w:p w14:paraId="68FD1230" w14:textId="0D16315B" w:rsidR="00857A47" w:rsidRPr="00857A47" w:rsidRDefault="00857A47" w:rsidP="00857A47">
      <w:pPr>
        <w:jc w:val="both"/>
        <w:rPr>
          <w:rFonts w:ascii="Bookman Old Style" w:hAnsi="Bookman Old Style" w:cs="Arial"/>
          <w:b/>
          <w:bCs/>
        </w:rPr>
      </w:pPr>
      <w:r w:rsidRPr="00857A47">
        <w:rPr>
          <w:rFonts w:ascii="Bookman Old Style" w:hAnsi="Bookman Old Style" w:cs="Arial"/>
          <w:b/>
          <w:bCs/>
        </w:rPr>
        <w:t>JUAN CARLOS LOZADA VARGAS</w:t>
      </w:r>
      <w:r w:rsidRPr="00857A47">
        <w:rPr>
          <w:rFonts w:ascii="Bookman Old Style" w:hAnsi="Bookman Old Style" w:cs="Arial"/>
          <w:b/>
          <w:bCs/>
        </w:rPr>
        <w:tab/>
        <w:t xml:space="preserve">MARÍA JOSÉ PIZARRO RODRÍGUEZ </w:t>
      </w:r>
    </w:p>
    <w:p w14:paraId="3467E73A" w14:textId="15AA7598" w:rsidR="00857A47" w:rsidRPr="00857A47" w:rsidRDefault="00857A47" w:rsidP="00857A47">
      <w:pPr>
        <w:jc w:val="both"/>
        <w:rPr>
          <w:rFonts w:ascii="Bookman Old Style" w:hAnsi="Bookman Old Style" w:cs="Arial"/>
          <w:b/>
          <w:bCs/>
        </w:rPr>
      </w:pPr>
      <w:r w:rsidRPr="00857A47">
        <w:rPr>
          <w:rFonts w:ascii="Bookman Old Style" w:hAnsi="Bookman Old Style" w:cs="Arial"/>
          <w:b/>
          <w:bCs/>
        </w:rPr>
        <w:t>Representante a la Cámara</w:t>
      </w:r>
      <w:r w:rsidRPr="00857A47">
        <w:rPr>
          <w:rFonts w:ascii="Bookman Old Style" w:hAnsi="Bookman Old Style" w:cs="Arial"/>
          <w:b/>
          <w:bCs/>
        </w:rPr>
        <w:tab/>
      </w:r>
      <w:r w:rsidRPr="00857A47">
        <w:rPr>
          <w:rFonts w:ascii="Bookman Old Style" w:hAnsi="Bookman Old Style" w:cs="Arial"/>
          <w:b/>
          <w:bCs/>
        </w:rPr>
        <w:tab/>
        <w:t xml:space="preserve">Senadora de la República </w:t>
      </w:r>
    </w:p>
    <w:p w14:paraId="213A7139" w14:textId="339503D0" w:rsidR="00857A47" w:rsidRDefault="00857A47" w:rsidP="00D91748">
      <w:pPr>
        <w:jc w:val="center"/>
        <w:rPr>
          <w:rFonts w:ascii="Bookman Old Style" w:hAnsi="Bookman Old Style" w:cs="Arial"/>
          <w:bCs/>
        </w:rPr>
      </w:pPr>
    </w:p>
    <w:p w14:paraId="76C00AB7" w14:textId="40680B9C" w:rsidR="00857A47" w:rsidRDefault="00857A47" w:rsidP="00D91748">
      <w:pPr>
        <w:jc w:val="center"/>
        <w:rPr>
          <w:rFonts w:ascii="Bookman Old Style" w:hAnsi="Bookman Old Style" w:cs="Arial"/>
          <w:bCs/>
        </w:rPr>
      </w:pPr>
    </w:p>
    <w:p w14:paraId="729246B2" w14:textId="70AF117F" w:rsidR="00857A47" w:rsidRDefault="00857A47" w:rsidP="00D91748">
      <w:pPr>
        <w:jc w:val="center"/>
        <w:rPr>
          <w:rFonts w:ascii="Bookman Old Style" w:hAnsi="Bookman Old Style" w:cs="Arial"/>
          <w:bCs/>
        </w:rPr>
      </w:pPr>
    </w:p>
    <w:p w14:paraId="36803772" w14:textId="42FB7E3E" w:rsidR="00857A47" w:rsidRDefault="00857A47" w:rsidP="00BB17DD">
      <w:pPr>
        <w:rPr>
          <w:rFonts w:ascii="Bookman Old Style" w:hAnsi="Bookman Old Style" w:cs="Arial"/>
          <w:bCs/>
        </w:rPr>
      </w:pPr>
    </w:p>
    <w:p w14:paraId="339699BF" w14:textId="77777777" w:rsidR="00857A47" w:rsidRPr="00D91748" w:rsidRDefault="00857A47" w:rsidP="00857A47">
      <w:pPr>
        <w:jc w:val="center"/>
        <w:rPr>
          <w:rFonts w:ascii="Bookman Old Style" w:hAnsi="Bookman Old Style" w:cs="Arial"/>
          <w:bCs/>
        </w:rPr>
      </w:pPr>
      <w:r w:rsidRPr="00D91748">
        <w:rPr>
          <w:rFonts w:ascii="Bookman Old Style" w:hAnsi="Bookman Old Style"/>
          <w:b/>
        </w:rPr>
        <w:lastRenderedPageBreak/>
        <w:t xml:space="preserve">TEXTO CONCILIADO DEL PROYECTO DE ACTO LEGISLATIVO </w:t>
      </w:r>
      <w:r w:rsidRPr="00D91748">
        <w:rPr>
          <w:rFonts w:ascii="Bookman Old Style" w:hAnsi="Bookman Old Style" w:cs="Arial"/>
          <w:b/>
          <w:bCs/>
        </w:rPr>
        <w:t>No. 033 de 2022 SENADO – 002 de 2022 CÁMARA.</w:t>
      </w:r>
      <w:r>
        <w:rPr>
          <w:rFonts w:ascii="Bookman Old Style" w:hAnsi="Bookman Old Style" w:cs="Arial"/>
          <w:b/>
          <w:bCs/>
        </w:rPr>
        <w:t xml:space="preserve"> PRIMERA VUELTA</w:t>
      </w:r>
    </w:p>
    <w:p w14:paraId="2499D863" w14:textId="77777777" w:rsidR="00857A47" w:rsidRPr="00D91748" w:rsidRDefault="00857A47" w:rsidP="00D91748">
      <w:pPr>
        <w:jc w:val="center"/>
        <w:rPr>
          <w:rFonts w:ascii="Bookman Old Style" w:hAnsi="Bookman Old Style" w:cs="Arial"/>
          <w:bCs/>
        </w:rPr>
      </w:pPr>
    </w:p>
    <w:p w14:paraId="08664115" w14:textId="77777777" w:rsidR="001E191E" w:rsidRPr="00D91748" w:rsidRDefault="00D91748" w:rsidP="00D91748">
      <w:pPr>
        <w:jc w:val="center"/>
        <w:rPr>
          <w:rFonts w:ascii="Bookman Old Style" w:hAnsi="Bookman Old Style" w:cs="Arial"/>
          <w:b/>
          <w:bCs/>
          <w:i/>
        </w:rPr>
      </w:pPr>
      <w:r w:rsidRPr="00D91748">
        <w:rPr>
          <w:rFonts w:ascii="Bookman Old Style" w:hAnsi="Bookman Old Style" w:cs="Arial"/>
          <w:b/>
          <w:bCs/>
          <w:i/>
        </w:rPr>
        <w:t xml:space="preserve">“Por medio del cual se modifica el artículo 49 de la Constitución Política de Colombia, se regulariza el cannabis de uso adulto y se dictan otras disposiciones.”  </w:t>
      </w:r>
    </w:p>
    <w:p w14:paraId="55DB67F1" w14:textId="77777777" w:rsidR="00D91748" w:rsidRPr="00D91748" w:rsidRDefault="00D91748" w:rsidP="00D91748">
      <w:pPr>
        <w:jc w:val="center"/>
        <w:rPr>
          <w:rFonts w:ascii="Bookman Old Style" w:hAnsi="Bookman Old Style" w:cs="Arial"/>
          <w:b/>
          <w:bCs/>
          <w:i/>
        </w:rPr>
      </w:pPr>
    </w:p>
    <w:p w14:paraId="5D2F73EC" w14:textId="77777777" w:rsidR="00D91748" w:rsidRPr="00D91748" w:rsidRDefault="00D91748" w:rsidP="00D91748">
      <w:pPr>
        <w:jc w:val="center"/>
        <w:rPr>
          <w:rFonts w:ascii="Bookman Old Style" w:hAnsi="Bookman Old Style" w:cs="Arial"/>
          <w:b/>
          <w:bCs/>
        </w:rPr>
      </w:pPr>
      <w:r w:rsidRPr="00D91748">
        <w:rPr>
          <w:rFonts w:ascii="Bookman Old Style" w:hAnsi="Bookman Old Style" w:cs="Arial"/>
          <w:b/>
          <w:bCs/>
        </w:rPr>
        <w:t>El Congreso de Colombia</w:t>
      </w:r>
    </w:p>
    <w:p w14:paraId="007F09BE" w14:textId="77777777" w:rsidR="00D91748" w:rsidRPr="00D91748" w:rsidRDefault="00D91748" w:rsidP="00D91748">
      <w:pPr>
        <w:jc w:val="center"/>
        <w:rPr>
          <w:rFonts w:ascii="Bookman Old Style" w:hAnsi="Bookman Old Style" w:cs="Arial"/>
          <w:b/>
          <w:bCs/>
        </w:rPr>
      </w:pPr>
    </w:p>
    <w:p w14:paraId="24A56BCE" w14:textId="77777777" w:rsidR="00D91748" w:rsidRPr="00D91748" w:rsidRDefault="00D91748" w:rsidP="00D91748">
      <w:pPr>
        <w:jc w:val="center"/>
        <w:rPr>
          <w:rFonts w:ascii="Bookman Old Style" w:hAnsi="Bookman Old Style" w:cs="Arial"/>
          <w:b/>
          <w:bCs/>
        </w:rPr>
      </w:pPr>
      <w:r w:rsidRPr="00D91748">
        <w:rPr>
          <w:rFonts w:ascii="Bookman Old Style" w:hAnsi="Bookman Old Style" w:cs="Arial"/>
          <w:b/>
          <w:bCs/>
        </w:rPr>
        <w:t>DECRETA:</w:t>
      </w:r>
    </w:p>
    <w:p w14:paraId="79259700" w14:textId="77777777" w:rsidR="00D91748" w:rsidRDefault="00D91748" w:rsidP="00D91748">
      <w:pPr>
        <w:jc w:val="center"/>
        <w:rPr>
          <w:rFonts w:ascii="Bookman Old Style" w:hAnsi="Bookman Old Style" w:cs="Arial"/>
          <w:bCs/>
        </w:rPr>
      </w:pPr>
    </w:p>
    <w:p w14:paraId="321EC630" w14:textId="77777777" w:rsidR="00D91748" w:rsidRPr="00D91748" w:rsidRDefault="00D91748" w:rsidP="00D91748">
      <w:pPr>
        <w:pStyle w:val="centrado"/>
        <w:spacing w:before="0" w:beforeAutospacing="0"/>
        <w:jc w:val="both"/>
        <w:rPr>
          <w:rFonts w:ascii="Bookman Old Style" w:hAnsi="Bookman Old Style" w:cs="Arial"/>
          <w:sz w:val="22"/>
          <w:szCs w:val="22"/>
        </w:rPr>
      </w:pPr>
      <w:r w:rsidRPr="00D91748">
        <w:rPr>
          <w:rFonts w:ascii="Bookman Old Style" w:hAnsi="Bookman Old Style" w:cs="Arial"/>
          <w:b/>
          <w:bCs/>
          <w:sz w:val="22"/>
          <w:szCs w:val="22"/>
        </w:rPr>
        <w:t xml:space="preserve">ARTÍCULO 1º. </w:t>
      </w:r>
      <w:r w:rsidRPr="00D91748">
        <w:rPr>
          <w:rFonts w:ascii="Bookman Old Style" w:hAnsi="Bookman Old Style" w:cs="Arial"/>
          <w:sz w:val="22"/>
          <w:szCs w:val="22"/>
        </w:rPr>
        <w:t>El artículo 49 de la Con</w:t>
      </w:r>
      <w:r>
        <w:rPr>
          <w:rFonts w:ascii="Bookman Old Style" w:hAnsi="Bookman Old Style" w:cs="Arial"/>
          <w:sz w:val="22"/>
          <w:szCs w:val="22"/>
        </w:rPr>
        <w:t>stitución Política quedará así:</w:t>
      </w:r>
    </w:p>
    <w:p w14:paraId="61A5DFF3" w14:textId="77777777" w:rsidR="00D91748" w:rsidRPr="00D91748" w:rsidRDefault="00D91748" w:rsidP="00D91748">
      <w:pPr>
        <w:spacing w:after="100" w:afterAutospacing="1"/>
        <w:jc w:val="both"/>
        <w:rPr>
          <w:rFonts w:ascii="Bookman Old Style" w:hAnsi="Bookman Old Style" w:cs="Arial"/>
        </w:rPr>
      </w:pPr>
      <w:r w:rsidRPr="00D91748">
        <w:rPr>
          <w:rFonts w:ascii="Bookman Old Style" w:hAnsi="Bookman Old Style" w:cs="Arial"/>
          <w:b/>
          <w:bCs/>
        </w:rPr>
        <w:t>ARTÍCULO 49o.</w:t>
      </w:r>
      <w:r w:rsidRPr="00D91748">
        <w:rPr>
          <w:rFonts w:ascii="Bookman Old Style" w:hAnsi="Bookman Old Style" w:cs="Arial"/>
        </w:rPr>
        <w:t xml:space="preserve"> La atención de la salud y el saneamiento ambiental son servicios públicos a cargo del Estado. Se garantiza a todas las personas el acceso a los servicios de promoción, protección y recuperación de la salud.</w:t>
      </w:r>
    </w:p>
    <w:p w14:paraId="338D562E" w14:textId="77777777" w:rsidR="00D91748" w:rsidRPr="00D91748" w:rsidRDefault="00D91748" w:rsidP="00D91748">
      <w:pPr>
        <w:jc w:val="both"/>
        <w:rPr>
          <w:rFonts w:ascii="Bookman Old Style" w:hAnsi="Bookman Old Style"/>
        </w:rPr>
      </w:pPr>
      <w:r w:rsidRPr="00D91748">
        <w:rPr>
          <w:rFonts w:ascii="Bookman Old Style" w:hAnsi="Bookman Old Style"/>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502FE193" w14:textId="77777777" w:rsidR="00D91748" w:rsidRPr="00D91748" w:rsidRDefault="00D91748" w:rsidP="00D91748">
      <w:pPr>
        <w:jc w:val="both"/>
        <w:rPr>
          <w:rFonts w:ascii="Bookman Old Style" w:hAnsi="Bookman Old Style"/>
        </w:rPr>
      </w:pPr>
      <w:r w:rsidRPr="00D91748">
        <w:rPr>
          <w:rFonts w:ascii="Bookman Old Style" w:hAnsi="Bookman Old Style"/>
        </w:rPr>
        <w:t>Los servicios de salud se organizarán en forma descentralizada, por niveles de atención y con participación de la comunidad.</w:t>
      </w:r>
    </w:p>
    <w:p w14:paraId="57EDAD73" w14:textId="77777777" w:rsidR="00D91748" w:rsidRPr="00D91748" w:rsidRDefault="00D91748" w:rsidP="00D91748">
      <w:pPr>
        <w:jc w:val="both"/>
        <w:rPr>
          <w:rFonts w:ascii="Bookman Old Style" w:hAnsi="Bookman Old Style"/>
        </w:rPr>
      </w:pPr>
      <w:r w:rsidRPr="00D91748">
        <w:rPr>
          <w:rFonts w:ascii="Bookman Old Style" w:hAnsi="Bookman Old Style"/>
        </w:rPr>
        <w:t>La ley señalará los términos en los cuales la atención básica para todos los habitantes será gratuita y obligatoria.</w:t>
      </w:r>
    </w:p>
    <w:p w14:paraId="542407F1" w14:textId="77777777" w:rsidR="00D91748" w:rsidRPr="00D91748" w:rsidRDefault="00D91748" w:rsidP="00D91748">
      <w:pPr>
        <w:jc w:val="both"/>
        <w:rPr>
          <w:rFonts w:ascii="Bookman Old Style" w:hAnsi="Bookman Old Style"/>
        </w:rPr>
      </w:pPr>
      <w:r w:rsidRPr="00D91748">
        <w:rPr>
          <w:rFonts w:ascii="Bookman Old Style" w:hAnsi="Bookman Old Style"/>
        </w:rPr>
        <w:t>Toda persona tiene el deber de procurar el cuidado integral de su salud y de su comunidad.</w:t>
      </w:r>
    </w:p>
    <w:p w14:paraId="0551895D" w14:textId="77777777" w:rsidR="00D91748" w:rsidRPr="00D91748" w:rsidRDefault="00D91748" w:rsidP="00D91748">
      <w:pPr>
        <w:jc w:val="both"/>
        <w:rPr>
          <w:rFonts w:ascii="Bookman Old Style" w:hAnsi="Bookman Old Style"/>
        </w:rPr>
      </w:pPr>
      <w:r w:rsidRPr="00D91748">
        <w:rPr>
          <w:rFonts w:ascii="Bookman Old Style" w:hAnsi="Bookman Old Style"/>
        </w:rPr>
        <w:t xml:space="preserve">El porte y consumo de sustancias psicoactivas no reguladas está prohibido, salvo prescripción médica. </w:t>
      </w:r>
    </w:p>
    <w:p w14:paraId="240F5BFA" w14:textId="77777777" w:rsidR="00D91748" w:rsidRPr="00D91748" w:rsidRDefault="00D91748" w:rsidP="00D91748">
      <w:pPr>
        <w:jc w:val="both"/>
        <w:rPr>
          <w:rFonts w:ascii="Bookman Old Style" w:hAnsi="Bookman Old Style"/>
        </w:rPr>
      </w:pPr>
      <w:r w:rsidRPr="00D91748">
        <w:rPr>
          <w:rFonts w:ascii="Bookman Old Style" w:hAnsi="Bookman Old Style"/>
        </w:rPr>
        <w:t xml:space="preserve">Con fines preventivos y rehabilitadores la ley establecerá medidas y tratamientos de orden pedagógico, profiláctico o terapéutico para toda la población y en especial a las personas que consuman sustancias estupefacientes o sicotrópicas. El sometimiento a esas medidas y tratamientos requieren el consentimiento informado del consumidor. </w:t>
      </w:r>
    </w:p>
    <w:p w14:paraId="7C483938" w14:textId="77777777" w:rsidR="00D91748" w:rsidRPr="00D91748" w:rsidRDefault="00D91748" w:rsidP="00D91748">
      <w:pPr>
        <w:jc w:val="both"/>
        <w:rPr>
          <w:rFonts w:ascii="Bookman Old Style" w:hAnsi="Bookman Old Style"/>
        </w:rPr>
      </w:pPr>
      <w:r w:rsidRPr="00D91748">
        <w:rPr>
          <w:rFonts w:ascii="Bookman Old Style" w:hAnsi="Bookman Old Style"/>
        </w:rPr>
        <w:lastRenderedPageBreak/>
        <w:t xml:space="preserve">La prohibición prevista en el inciso anterior no aplicará para el porte, producción, distribución, venta y consumo del cannabis y sus derivados por parte de mayores de edad. Tampoco aplicará para ninguna de estas sustancias cuando su destinación sea para usos científicos o de investigación, siempre y cuando cuente con las licencias otorgadas por la autoridad competente. </w:t>
      </w:r>
    </w:p>
    <w:p w14:paraId="79C80A68" w14:textId="77777777" w:rsidR="00D91748" w:rsidRPr="00D91748" w:rsidRDefault="00D91748" w:rsidP="00D91748">
      <w:pPr>
        <w:jc w:val="both"/>
        <w:rPr>
          <w:rFonts w:ascii="Bookman Old Style" w:hAnsi="Bookman Old Style"/>
        </w:rPr>
      </w:pPr>
      <w:r w:rsidRPr="00D91748">
        <w:rPr>
          <w:rFonts w:ascii="Bookman Old Style" w:hAnsi="Bookman Old Style"/>
        </w:rPr>
        <w:t xml:space="preserve">La ley restringirá el consumo y comercialización de cannabis o sus derivados en entornos escolares y reglamentará el porte y consumo de cannabis y sus derivados en espacios públicos, recreativos, en espacios privados y públicos abiertos al público, comunes, zonas comunes, en establecimientos carcelarios y de rehabilitación, entre otros. </w:t>
      </w:r>
    </w:p>
    <w:p w14:paraId="0A443BBC" w14:textId="77777777" w:rsidR="00D91748" w:rsidRPr="00D91748" w:rsidRDefault="00D91748" w:rsidP="00D91748">
      <w:pPr>
        <w:jc w:val="both"/>
        <w:rPr>
          <w:rFonts w:ascii="Bookman Old Style" w:hAnsi="Bookman Old Style"/>
        </w:rPr>
      </w:pPr>
      <w:r w:rsidRPr="00D91748">
        <w:rPr>
          <w:rFonts w:ascii="Bookman Old Style" w:hAnsi="Bookman Old Style"/>
        </w:rPr>
        <w:t>Así mismo, el Estado atenderá con un enfoque de derechos humanos a toda la población con una relación problemática con sustancias psicoactivas y a su familia y/o redes de apoyo, garantizando su tratamiento y rehabilitación; y así prevenir comportamientos que afecten el cuidado integral de la salud de las personas y, por consiguiente, de la comunidad, y desarrollará de manera permanente campañas de prevención del consumo de sustancias psicoactivas y sus efectos nocivos , así como estrategias de reducción de riesgos y daños en favor de los consumidores que tienen relación problemática o dependien</w:t>
      </w:r>
      <w:r>
        <w:rPr>
          <w:rFonts w:ascii="Bookman Old Style" w:hAnsi="Bookman Old Style"/>
        </w:rPr>
        <w:t>te con sustancias psicoactivas.</w:t>
      </w:r>
    </w:p>
    <w:p w14:paraId="76B449D3" w14:textId="77777777" w:rsidR="00D91748" w:rsidRPr="00D91748" w:rsidRDefault="00D91748" w:rsidP="00D91748">
      <w:pPr>
        <w:jc w:val="both"/>
        <w:rPr>
          <w:rFonts w:ascii="Bookman Old Style" w:hAnsi="Bookman Old Style"/>
        </w:rPr>
      </w:pPr>
      <w:r w:rsidRPr="00D91748">
        <w:rPr>
          <w:rFonts w:ascii="Bookman Old Style" w:hAnsi="Bookman Old Style"/>
        </w:rPr>
        <w:t xml:space="preserve">El Estado incorporará en el Sistema Educativo, en su diferentes formas, modalidades y niveles, la educación sobre la prevención en el consumo de drogas o sustancias estupefacientes y sus efectos nocivos. </w:t>
      </w:r>
    </w:p>
    <w:p w14:paraId="7D811C22" w14:textId="77777777" w:rsidR="00D91748" w:rsidRDefault="00D91748" w:rsidP="00D91748">
      <w:pPr>
        <w:jc w:val="both"/>
        <w:rPr>
          <w:rFonts w:ascii="Bookman Old Style" w:hAnsi="Bookman Old Style"/>
        </w:rPr>
      </w:pPr>
      <w:r w:rsidRPr="00D91748">
        <w:rPr>
          <w:rFonts w:ascii="Bookman Old Style" w:hAnsi="Bookman Old Style"/>
        </w:rPr>
        <w:t>Las entidades que conformas en sistema General de Seguridad Social en Salud y sus prestadores garantizarán la aplicación e incorporación de lo establecido en este artículo de forma obligatoria.</w:t>
      </w:r>
    </w:p>
    <w:p w14:paraId="5D21478D" w14:textId="77777777" w:rsidR="00D91748" w:rsidRDefault="00D91748" w:rsidP="00D91748">
      <w:pPr>
        <w:jc w:val="both"/>
        <w:rPr>
          <w:rFonts w:ascii="Bookman Old Style" w:hAnsi="Bookman Old Style"/>
        </w:rPr>
      </w:pPr>
    </w:p>
    <w:p w14:paraId="60C2C828" w14:textId="77777777" w:rsidR="00D91748" w:rsidRPr="00D91748" w:rsidRDefault="00D91748" w:rsidP="00D91748">
      <w:pPr>
        <w:pStyle w:val="NormalWeb"/>
        <w:spacing w:line="270" w:lineRule="atLeast"/>
        <w:jc w:val="both"/>
        <w:rPr>
          <w:rFonts w:ascii="Bookman Old Style" w:hAnsi="Bookman Old Style" w:cs="Arial"/>
          <w:b/>
          <w:bCs/>
          <w:sz w:val="22"/>
          <w:szCs w:val="22"/>
        </w:rPr>
      </w:pPr>
      <w:r w:rsidRPr="00D91748">
        <w:rPr>
          <w:rFonts w:ascii="Bookman Old Style" w:hAnsi="Bookman Old Style" w:cs="Arial"/>
          <w:b/>
          <w:bCs/>
          <w:sz w:val="22"/>
          <w:szCs w:val="22"/>
        </w:rPr>
        <w:t xml:space="preserve">ARTÍCULO 2°. TRANSITORIO. </w:t>
      </w:r>
    </w:p>
    <w:p w14:paraId="2B85A1DD" w14:textId="77777777" w:rsidR="00D91748" w:rsidRPr="00D91748" w:rsidRDefault="00D91748" w:rsidP="00D91748">
      <w:pPr>
        <w:pStyle w:val="NormalWeb"/>
        <w:spacing w:line="270" w:lineRule="atLeast"/>
        <w:jc w:val="both"/>
        <w:rPr>
          <w:rFonts w:ascii="Bookman Old Style" w:hAnsi="Bookman Old Style" w:cs="Arial"/>
          <w:b/>
          <w:bCs/>
          <w:sz w:val="22"/>
          <w:szCs w:val="22"/>
        </w:rPr>
      </w:pPr>
      <w:r w:rsidRPr="00D91748">
        <w:rPr>
          <w:rFonts w:ascii="Bookman Old Style" w:hAnsi="Bookman Old Style" w:cs="Arial"/>
          <w:sz w:val="22"/>
          <w:szCs w:val="22"/>
        </w:rPr>
        <w:t>El Gobierno Nacional tendrá un plazo de seis (6) meses, contados a partir de la promulgación del presente Acto Legislativo, para formular, divulgar e implementar una política pública estricta e integral en torno a la prevención y atención del consumo del cannabis y sus derivados. Dicha política deberá estar acompañada con una estrategia educativa nacional integral que tenga como objetivo la prevención del consumo de dichas sustancias.</w:t>
      </w:r>
      <w:r w:rsidRPr="00D91748">
        <w:rPr>
          <w:rFonts w:ascii="Bookman Old Style" w:hAnsi="Bookman Old Style" w:cs="Arial"/>
          <w:b/>
          <w:bCs/>
          <w:sz w:val="22"/>
          <w:szCs w:val="22"/>
        </w:rPr>
        <w:t xml:space="preserve"> </w:t>
      </w:r>
    </w:p>
    <w:p w14:paraId="409F7460" w14:textId="77777777" w:rsidR="00D91748" w:rsidRPr="00D91748" w:rsidRDefault="00D91748" w:rsidP="00D91748">
      <w:pPr>
        <w:pStyle w:val="NormalWeb"/>
        <w:spacing w:line="270" w:lineRule="atLeast"/>
        <w:jc w:val="both"/>
        <w:rPr>
          <w:rFonts w:ascii="Bookman Old Style" w:hAnsi="Bookman Old Style" w:cs="Arial"/>
          <w:bCs/>
          <w:sz w:val="22"/>
          <w:szCs w:val="22"/>
        </w:rPr>
      </w:pPr>
      <w:r w:rsidRPr="00D91748">
        <w:rPr>
          <w:rFonts w:ascii="Bookman Old Style" w:hAnsi="Bookman Old Style" w:cs="Arial"/>
          <w:bCs/>
          <w:sz w:val="22"/>
          <w:szCs w:val="22"/>
        </w:rPr>
        <w:t xml:space="preserve">Parágrafo. Tratándose de pueblos indígenas, el Gobierno Nacional deberá agotar la consulta previa, para emitir un decreto para su reglamentación y garantizará la interculturalidad como elemento esencial del derecho fundamental a la salud para el fortalecimiento efectivo de los saberes, prácticas culturales, formas tradicionales y complementarias afines a la diversidad étnica. </w:t>
      </w:r>
    </w:p>
    <w:p w14:paraId="40405F97" w14:textId="77777777" w:rsidR="00D91748" w:rsidRDefault="00D91748" w:rsidP="00D91748">
      <w:pPr>
        <w:pStyle w:val="NormalWeb"/>
        <w:spacing w:line="270" w:lineRule="atLeast"/>
        <w:jc w:val="both"/>
        <w:rPr>
          <w:rFonts w:ascii="Bookman Old Style" w:hAnsi="Bookman Old Style" w:cs="Arial"/>
          <w:sz w:val="22"/>
          <w:szCs w:val="22"/>
        </w:rPr>
      </w:pPr>
      <w:r w:rsidRPr="00D91748">
        <w:rPr>
          <w:rFonts w:ascii="Bookman Old Style" w:hAnsi="Bookman Old Style" w:cs="Arial"/>
          <w:b/>
          <w:bCs/>
          <w:sz w:val="22"/>
          <w:szCs w:val="22"/>
        </w:rPr>
        <w:t>ARTÍCULO 3°. TRANSITORIO.</w:t>
      </w:r>
      <w:r w:rsidRPr="00D91748">
        <w:rPr>
          <w:rFonts w:ascii="Bookman Old Style" w:hAnsi="Bookman Old Style" w:cs="Arial"/>
          <w:sz w:val="22"/>
          <w:szCs w:val="22"/>
        </w:rPr>
        <w:t xml:space="preserve"> El Gobierno Nacional tendrá un plazo de doce (12) meses contados a partir de la promulgación del presente Acto Legislativo, para formular, divulgar e implementar una política pública, encaminada en la </w:t>
      </w:r>
      <w:r w:rsidRPr="00D91748">
        <w:rPr>
          <w:rFonts w:ascii="Bookman Old Style" w:hAnsi="Bookman Old Style" w:cs="Arial"/>
          <w:sz w:val="22"/>
          <w:szCs w:val="22"/>
        </w:rPr>
        <w:lastRenderedPageBreak/>
        <w:t xml:space="preserve">prevención y tratamiento de enfermedades y condiciones fisiológicas y psicológicas derivadas del consumo crónico y dependiente de cannabis en adultos. </w:t>
      </w:r>
    </w:p>
    <w:p w14:paraId="00A00019" w14:textId="77777777" w:rsidR="00D91748" w:rsidRPr="00D91748" w:rsidRDefault="00D91748" w:rsidP="00D91748">
      <w:pPr>
        <w:jc w:val="both"/>
        <w:rPr>
          <w:rFonts w:ascii="Bookman Old Style" w:eastAsia="Calibri" w:hAnsi="Bookman Old Style" w:cs="Arial"/>
          <w:bCs/>
        </w:rPr>
      </w:pPr>
      <w:r w:rsidRPr="00D91748">
        <w:rPr>
          <w:rFonts w:ascii="Bookman Old Style" w:hAnsi="Bookman Old Style" w:cs="Arial"/>
          <w:b/>
          <w:bCs/>
        </w:rPr>
        <w:t>ARTÍCULO 4°.</w:t>
      </w:r>
      <w:r w:rsidRPr="00D91748">
        <w:rPr>
          <w:rFonts w:ascii="Bookman Old Style" w:eastAsia="Calibri" w:hAnsi="Bookman Old Style" w:cs="Arial"/>
          <w:bCs/>
        </w:rPr>
        <w:t xml:space="preserve"> Modifíquese el artículo 287 de la Constitución Política, el cual quedará así:</w:t>
      </w:r>
    </w:p>
    <w:p w14:paraId="15306333" w14:textId="77777777" w:rsidR="00D91748" w:rsidRPr="00D91748" w:rsidRDefault="00D91748" w:rsidP="00D91748">
      <w:pPr>
        <w:ind w:left="708"/>
        <w:jc w:val="both"/>
        <w:rPr>
          <w:rFonts w:ascii="Bookman Old Style" w:eastAsia="Calibri" w:hAnsi="Bookman Old Style" w:cs="Arial"/>
          <w:bCs/>
        </w:rPr>
      </w:pPr>
      <w:r w:rsidRPr="00D91748">
        <w:rPr>
          <w:rFonts w:ascii="Bookman Old Style" w:eastAsia="Calibri" w:hAnsi="Bookman Old Style" w:cs="Arial"/>
          <w:bCs/>
        </w:rPr>
        <w:t>Artículo 287. Las entidades territoriales gozan de autonomía para la gestión de sus intereses, y dentro de los límites de la Constitución y la ley. En tal virtud tendrán los siguientes derechos:</w:t>
      </w:r>
    </w:p>
    <w:p w14:paraId="7C5A6421" w14:textId="77777777" w:rsidR="00D91748" w:rsidRPr="00D91748" w:rsidRDefault="00D91748" w:rsidP="00D91748">
      <w:pPr>
        <w:ind w:left="708"/>
        <w:jc w:val="both"/>
        <w:rPr>
          <w:rFonts w:ascii="Bookman Old Style" w:eastAsia="Calibri" w:hAnsi="Bookman Old Style" w:cs="Arial"/>
          <w:bCs/>
        </w:rPr>
      </w:pPr>
    </w:p>
    <w:p w14:paraId="32C05211" w14:textId="77777777" w:rsidR="00D91748" w:rsidRPr="00D91748" w:rsidRDefault="00D91748" w:rsidP="00D91748">
      <w:pPr>
        <w:ind w:left="708"/>
        <w:jc w:val="both"/>
        <w:rPr>
          <w:rFonts w:ascii="Bookman Old Style" w:eastAsia="Calibri" w:hAnsi="Bookman Old Style" w:cs="Arial"/>
          <w:bCs/>
        </w:rPr>
      </w:pPr>
      <w:r w:rsidRPr="00D91748">
        <w:rPr>
          <w:rFonts w:ascii="Bookman Old Style" w:eastAsia="Calibri" w:hAnsi="Bookman Old Style" w:cs="Arial"/>
          <w:bCs/>
        </w:rPr>
        <w:t>1. Gobernarse por autoridades propias.</w:t>
      </w:r>
    </w:p>
    <w:p w14:paraId="17193304" w14:textId="77777777" w:rsidR="00D91748" w:rsidRPr="00D91748" w:rsidRDefault="00D91748" w:rsidP="00D91748">
      <w:pPr>
        <w:ind w:left="708"/>
        <w:jc w:val="both"/>
        <w:rPr>
          <w:rFonts w:ascii="Bookman Old Style" w:eastAsia="Calibri" w:hAnsi="Bookman Old Style" w:cs="Arial"/>
          <w:bCs/>
        </w:rPr>
      </w:pPr>
      <w:r w:rsidRPr="00D91748">
        <w:rPr>
          <w:rFonts w:ascii="Bookman Old Style" w:eastAsia="Calibri" w:hAnsi="Bookman Old Style" w:cs="Arial"/>
          <w:bCs/>
        </w:rPr>
        <w:t>2. Ejercer las competencias que les correspondan.</w:t>
      </w:r>
    </w:p>
    <w:p w14:paraId="3CC6D5F4" w14:textId="77777777" w:rsidR="00D91748" w:rsidRPr="00D91748" w:rsidRDefault="00D91748" w:rsidP="00D91748">
      <w:pPr>
        <w:ind w:left="708"/>
        <w:jc w:val="both"/>
        <w:rPr>
          <w:rFonts w:ascii="Bookman Old Style" w:eastAsia="Calibri" w:hAnsi="Bookman Old Style" w:cs="Arial"/>
          <w:bCs/>
        </w:rPr>
      </w:pPr>
      <w:r w:rsidRPr="00D91748">
        <w:rPr>
          <w:rFonts w:ascii="Bookman Old Style" w:eastAsia="Calibri" w:hAnsi="Bookman Old Style" w:cs="Arial"/>
          <w:bCs/>
        </w:rPr>
        <w:t>3. Administrar los recursos y establecer los tributos necesarios para el cumplimiento de sus funciones.</w:t>
      </w:r>
    </w:p>
    <w:p w14:paraId="330ABFA4" w14:textId="77777777" w:rsidR="00D91748" w:rsidRPr="00D91748" w:rsidRDefault="00D91748" w:rsidP="00D91748">
      <w:pPr>
        <w:ind w:left="708"/>
        <w:jc w:val="both"/>
        <w:rPr>
          <w:rFonts w:ascii="Bookman Old Style" w:eastAsia="Calibri" w:hAnsi="Bookman Old Style" w:cs="Arial"/>
          <w:bCs/>
        </w:rPr>
      </w:pPr>
      <w:r w:rsidRPr="00D91748">
        <w:rPr>
          <w:rFonts w:ascii="Bookman Old Style" w:eastAsia="Calibri" w:hAnsi="Bookman Old Style" w:cs="Arial"/>
          <w:bCs/>
        </w:rPr>
        <w:t>4. Participar en las rentas nacionales.</w:t>
      </w:r>
    </w:p>
    <w:p w14:paraId="3E66D3CA" w14:textId="77777777" w:rsidR="00D91748" w:rsidRDefault="00D91748" w:rsidP="00D91748">
      <w:pPr>
        <w:pStyle w:val="NormalWeb"/>
        <w:spacing w:line="270" w:lineRule="atLeast"/>
        <w:ind w:left="708"/>
        <w:jc w:val="both"/>
        <w:rPr>
          <w:rFonts w:ascii="Bookman Old Style" w:eastAsia="Calibri" w:hAnsi="Bookman Old Style" w:cs="Arial"/>
          <w:bCs/>
          <w:sz w:val="22"/>
          <w:szCs w:val="22"/>
        </w:rPr>
      </w:pPr>
      <w:r w:rsidRPr="00D91748">
        <w:rPr>
          <w:rFonts w:ascii="Bookman Old Style" w:eastAsia="Calibri" w:hAnsi="Bookman Old Style" w:cs="Arial"/>
          <w:bCs/>
          <w:sz w:val="22"/>
          <w:szCs w:val="22"/>
        </w:rPr>
        <w:t>5. Establecer, recaudar y administrar tributos a favor del respectivo orden municipal, distrital o departamental, por las distintas actividades relativas a la distribución o venta de cannabis para uso de adultos, de acuerdo a la ley.</w:t>
      </w:r>
    </w:p>
    <w:p w14:paraId="09D7C4BA" w14:textId="77777777" w:rsidR="00D91748" w:rsidRDefault="00D91748" w:rsidP="00D91748">
      <w:pPr>
        <w:pStyle w:val="NormalWeb"/>
        <w:spacing w:line="270" w:lineRule="atLeast"/>
        <w:jc w:val="both"/>
        <w:rPr>
          <w:rFonts w:ascii="Bookman Old Style" w:eastAsia="Calibri" w:hAnsi="Bookman Old Style" w:cs="Arial"/>
          <w:bCs/>
          <w:sz w:val="22"/>
          <w:szCs w:val="22"/>
        </w:rPr>
      </w:pPr>
    </w:p>
    <w:p w14:paraId="35A2CCF7" w14:textId="77777777" w:rsidR="00D91748" w:rsidRPr="00D91748" w:rsidRDefault="00D91748" w:rsidP="00D91748">
      <w:pPr>
        <w:pStyle w:val="NormalWeb"/>
        <w:spacing w:line="270" w:lineRule="atLeast"/>
        <w:jc w:val="both"/>
        <w:rPr>
          <w:rFonts w:ascii="Bookman Old Style" w:eastAsia="Calibri" w:hAnsi="Bookman Old Style" w:cs="Arial"/>
          <w:bCs/>
          <w:sz w:val="22"/>
          <w:szCs w:val="22"/>
        </w:rPr>
      </w:pPr>
      <w:r w:rsidRPr="00D91748">
        <w:rPr>
          <w:rFonts w:ascii="Bookman Old Style" w:hAnsi="Bookman Old Style" w:cs="Arial"/>
          <w:b/>
          <w:bCs/>
          <w:sz w:val="22"/>
          <w:szCs w:val="22"/>
        </w:rPr>
        <w:t xml:space="preserve">ARTÍCULO 5. </w:t>
      </w:r>
      <w:r w:rsidRPr="00D91748">
        <w:rPr>
          <w:rFonts w:ascii="Bookman Old Style" w:eastAsia="Calibri" w:hAnsi="Bookman Old Style" w:cs="Arial"/>
          <w:bCs/>
          <w:sz w:val="22"/>
          <w:szCs w:val="22"/>
        </w:rPr>
        <w:t>Modifíquese el artículo 317 de la Constitución Política, el cual quedará así:</w:t>
      </w:r>
    </w:p>
    <w:p w14:paraId="419DFED1" w14:textId="77777777" w:rsidR="00D91748" w:rsidRPr="00D91748" w:rsidRDefault="00D91748" w:rsidP="00D91748">
      <w:pPr>
        <w:pStyle w:val="NormalWeb"/>
        <w:spacing w:line="270" w:lineRule="atLeast"/>
        <w:ind w:left="708"/>
        <w:jc w:val="both"/>
        <w:rPr>
          <w:rFonts w:ascii="Bookman Old Style" w:hAnsi="Bookman Old Style" w:cs="Arial"/>
          <w:sz w:val="22"/>
          <w:szCs w:val="22"/>
        </w:rPr>
      </w:pPr>
      <w:r w:rsidRPr="00D91748">
        <w:rPr>
          <w:rFonts w:ascii="Bookman Old Style" w:hAnsi="Bookman Old Style" w:cs="Arial"/>
          <w:b/>
          <w:bCs/>
          <w:sz w:val="22"/>
          <w:szCs w:val="22"/>
        </w:rPr>
        <w:t>Artículo 317.</w:t>
      </w:r>
      <w:r w:rsidRPr="00D91748">
        <w:rPr>
          <w:rFonts w:ascii="Bookman Old Style" w:hAnsi="Bookman Old Style" w:cs="Arial"/>
          <w:sz w:val="22"/>
          <w:szCs w:val="22"/>
        </w:rPr>
        <w:t xml:space="preserve"> Solo los municipios podrán gravar la propiedad inmueble. Lo anterior no obsta para que otras entidades impongan contribución de valorización. </w:t>
      </w:r>
    </w:p>
    <w:p w14:paraId="65455EA8" w14:textId="77777777" w:rsidR="00D91748" w:rsidRPr="00D91748" w:rsidRDefault="00D91748" w:rsidP="00D91748">
      <w:pPr>
        <w:pStyle w:val="NormalWeb"/>
        <w:spacing w:line="270" w:lineRule="atLeast"/>
        <w:ind w:left="708"/>
        <w:jc w:val="both"/>
        <w:rPr>
          <w:rFonts w:ascii="Bookman Old Style" w:hAnsi="Bookman Old Style" w:cs="Arial"/>
          <w:sz w:val="22"/>
          <w:szCs w:val="22"/>
        </w:rPr>
      </w:pPr>
      <w:r w:rsidRPr="00D91748">
        <w:rPr>
          <w:rFonts w:ascii="Bookman Old Style" w:hAnsi="Bookman Old Style" w:cs="Arial"/>
          <w:sz w:val="22"/>
          <w:szCs w:val="22"/>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14:paraId="314D3EDB" w14:textId="77777777" w:rsidR="00D91748" w:rsidRDefault="00D91748" w:rsidP="00D91748">
      <w:pPr>
        <w:ind w:left="708"/>
        <w:jc w:val="both"/>
        <w:rPr>
          <w:rFonts w:ascii="Bookman Old Style" w:hAnsi="Bookman Old Style" w:cs="Arial"/>
        </w:rPr>
      </w:pPr>
      <w:r w:rsidRPr="00D91748">
        <w:rPr>
          <w:rFonts w:ascii="Bookman Old Style" w:hAnsi="Bookman Old Style" w:cs="Arial"/>
        </w:rPr>
        <w:t>La ley regulará los impuestos que decreten los municipios y distritos a su favor, previa aprobación de los concejos, por el uso de inmuebles en actividades relativas al cannabis de uso para adultos. Estos impuestos tendrán como destinación los sistemas de salud y educación, y el sector agricultura.</w:t>
      </w:r>
    </w:p>
    <w:p w14:paraId="7B7119A4" w14:textId="77777777" w:rsidR="00D91748" w:rsidRDefault="00D91748" w:rsidP="00D91748">
      <w:pPr>
        <w:jc w:val="both"/>
        <w:rPr>
          <w:rFonts w:ascii="Bookman Old Style" w:hAnsi="Bookman Old Style" w:cs="Arial"/>
        </w:rPr>
      </w:pPr>
    </w:p>
    <w:p w14:paraId="3CF1B0B9" w14:textId="77777777" w:rsidR="00D91748" w:rsidRPr="00D91748" w:rsidRDefault="00D91748" w:rsidP="00D91748">
      <w:pPr>
        <w:jc w:val="both"/>
        <w:rPr>
          <w:rFonts w:ascii="Bookman Old Style" w:hAnsi="Bookman Old Style" w:cs="Arial"/>
          <w:b/>
          <w:bCs/>
        </w:rPr>
      </w:pPr>
      <w:r w:rsidRPr="00D91748">
        <w:rPr>
          <w:rFonts w:ascii="Bookman Old Style" w:hAnsi="Bookman Old Style" w:cs="Arial"/>
          <w:b/>
          <w:bCs/>
        </w:rPr>
        <w:t xml:space="preserve">ARTÍCULO 6. TRANSITORIO. </w:t>
      </w:r>
    </w:p>
    <w:p w14:paraId="1F1584B2" w14:textId="77777777" w:rsidR="00D91748" w:rsidRPr="00D91748" w:rsidRDefault="00D91748" w:rsidP="00D91748">
      <w:pPr>
        <w:jc w:val="both"/>
        <w:rPr>
          <w:rFonts w:ascii="Bookman Old Style" w:hAnsi="Bookman Old Style" w:cs="Arial"/>
        </w:rPr>
      </w:pPr>
      <w:r w:rsidRPr="00D91748">
        <w:rPr>
          <w:rFonts w:ascii="Bookman Old Style" w:hAnsi="Bookman Old Style" w:cs="Arial"/>
        </w:rPr>
        <w:lastRenderedPageBreak/>
        <w:t>El Congreso de la</w:t>
      </w:r>
      <w:r w:rsidRPr="00D91748">
        <w:rPr>
          <w:rFonts w:ascii="Bookman Old Style" w:hAnsi="Bookman Old Style" w:cs="Arial"/>
          <w:b/>
          <w:bCs/>
        </w:rPr>
        <w:t xml:space="preserve"> </w:t>
      </w:r>
      <w:r w:rsidRPr="00D91748">
        <w:rPr>
          <w:rFonts w:ascii="Bookman Old Style" w:hAnsi="Bookman Old Style" w:cs="Arial"/>
        </w:rPr>
        <w:t>República expedirá la ley que reglamenta y autoriza a las entidades territoriales la imposición de los tributos señalados en el presente Acto Legislativo, dentro de los doce (12) meses siguientes a su entrada en vigencia.</w:t>
      </w:r>
    </w:p>
    <w:p w14:paraId="17907230" w14:textId="77777777" w:rsidR="00D91748" w:rsidRPr="00D91748" w:rsidRDefault="00D91748" w:rsidP="00D91748">
      <w:pPr>
        <w:jc w:val="both"/>
        <w:rPr>
          <w:rFonts w:ascii="Bookman Old Style" w:hAnsi="Bookman Old Style" w:cs="Arial"/>
        </w:rPr>
      </w:pPr>
      <w:r w:rsidRPr="00D91748">
        <w:rPr>
          <w:rFonts w:ascii="Bookman Old Style" w:hAnsi="Bookman Old Style" w:cs="Arial"/>
          <w:b/>
          <w:bCs/>
        </w:rPr>
        <w:t>ARTÍCULO 7°. VIGENCIA.</w:t>
      </w:r>
      <w:r w:rsidRPr="00D91748">
        <w:rPr>
          <w:rFonts w:ascii="Bookman Old Style" w:hAnsi="Bookman Old Style" w:cs="Arial"/>
        </w:rPr>
        <w:t> El presente Acto Legislativo rige a partir de su promulgación. El artículo 1 entrará en vigencia seis (6) meses después de la promulgación de este acto legislativo.</w:t>
      </w:r>
    </w:p>
    <w:p w14:paraId="1B7966E5" w14:textId="77777777" w:rsidR="00D91748" w:rsidRDefault="00D91748" w:rsidP="00D91748">
      <w:pPr>
        <w:pStyle w:val="NormalWeb"/>
        <w:spacing w:line="270" w:lineRule="atLeast"/>
        <w:jc w:val="center"/>
        <w:rPr>
          <w:rFonts w:ascii="Bookman Old Style" w:hAnsi="Bookman Old Style" w:cs="Arial"/>
          <w:b/>
          <w:bCs/>
          <w:sz w:val="22"/>
          <w:szCs w:val="22"/>
        </w:rPr>
      </w:pPr>
      <w:r>
        <w:rPr>
          <w:rFonts w:ascii="Bookman Old Style" w:hAnsi="Bookman Old Style" w:cs="Arial"/>
          <w:b/>
          <w:bCs/>
          <w:sz w:val="22"/>
          <w:szCs w:val="22"/>
        </w:rPr>
        <w:t>CONCILIADORES</w:t>
      </w:r>
    </w:p>
    <w:p w14:paraId="1B6D0F4C" w14:textId="77777777" w:rsidR="00D91748" w:rsidRDefault="00D91748" w:rsidP="00D91748">
      <w:pPr>
        <w:pStyle w:val="NormalWeb"/>
        <w:spacing w:line="270" w:lineRule="atLeast"/>
        <w:jc w:val="center"/>
        <w:rPr>
          <w:rFonts w:ascii="Bookman Old Style" w:hAnsi="Bookman Old Style" w:cs="Arial"/>
          <w:b/>
          <w:bCs/>
          <w:sz w:val="22"/>
          <w:szCs w:val="22"/>
        </w:rPr>
      </w:pPr>
    </w:p>
    <w:p w14:paraId="41F0A19D" w14:textId="77777777" w:rsidR="00D91748" w:rsidRPr="00D91748" w:rsidRDefault="00D91748" w:rsidP="00D91748">
      <w:pPr>
        <w:pStyle w:val="NormalWeb"/>
        <w:spacing w:line="270" w:lineRule="atLeast"/>
        <w:jc w:val="center"/>
        <w:rPr>
          <w:rFonts w:ascii="Bookman Old Style" w:hAnsi="Bookman Old Style" w:cs="Arial"/>
          <w:b/>
          <w:bCs/>
          <w:sz w:val="22"/>
          <w:szCs w:val="22"/>
        </w:rPr>
      </w:pPr>
    </w:p>
    <w:p w14:paraId="7A4DC9AB" w14:textId="77777777" w:rsidR="00857A47" w:rsidRDefault="00857A47" w:rsidP="00857A47">
      <w:pPr>
        <w:rPr>
          <w:rFonts w:ascii="Bookman Old Style" w:hAnsi="Bookman Old Style" w:cs="Arial"/>
          <w:bCs/>
        </w:rPr>
      </w:pPr>
      <w:r>
        <w:rPr>
          <w:rFonts w:ascii="Bookman Old Style" w:hAnsi="Bookman Old Style" w:cs="Arial"/>
          <w:bCs/>
        </w:rPr>
        <w:t xml:space="preserve">Del Representante y la Senadora, </w:t>
      </w:r>
    </w:p>
    <w:p w14:paraId="153E967E" w14:textId="1995A640" w:rsidR="00857A47" w:rsidRDefault="00397DCE" w:rsidP="00857A47">
      <w:pPr>
        <w:jc w:val="center"/>
        <w:rPr>
          <w:rFonts w:ascii="Bookman Old Style" w:hAnsi="Bookman Old Style" w:cs="Arial"/>
          <w:bCs/>
        </w:rPr>
      </w:pPr>
      <w:r>
        <w:rPr>
          <w:noProof/>
          <w:lang w:eastAsia="es-CO"/>
        </w:rPr>
        <w:drawing>
          <wp:anchor distT="0" distB="0" distL="114300" distR="114300" simplePos="0" relativeHeight="251661312" behindDoc="1" locked="0" layoutInCell="1" allowOverlap="1" wp14:anchorId="2B9E5C08" wp14:editId="6A7E28AB">
            <wp:simplePos x="0" y="0"/>
            <wp:positionH relativeFrom="column">
              <wp:posOffset>-266700</wp:posOffset>
            </wp:positionH>
            <wp:positionV relativeFrom="paragraph">
              <wp:posOffset>128905</wp:posOffset>
            </wp:positionV>
            <wp:extent cx="2856602" cy="1065297"/>
            <wp:effectExtent l="38100" t="88900" r="26670" b="781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jpg"/>
                    <pic:cNvPicPr/>
                  </pic:nvPicPr>
                  <pic:blipFill>
                    <a:blip r:embed="rId8" cstate="print">
                      <a:extLst>
                        <a:ext uri="{28A0092B-C50C-407E-A947-70E740481C1C}">
                          <a14:useLocalDpi xmlns:a14="http://schemas.microsoft.com/office/drawing/2010/main" val="0"/>
                        </a:ext>
                      </a:extLst>
                    </a:blip>
                    <a:stretch>
                      <a:fillRect/>
                    </a:stretch>
                  </pic:blipFill>
                  <pic:spPr>
                    <a:xfrm rot="187286">
                      <a:off x="0" y="0"/>
                      <a:ext cx="2856602" cy="1065297"/>
                    </a:xfrm>
                    <a:prstGeom prst="rect">
                      <a:avLst/>
                    </a:prstGeom>
                  </pic:spPr>
                </pic:pic>
              </a:graphicData>
            </a:graphic>
            <wp14:sizeRelH relativeFrom="page">
              <wp14:pctWidth>0</wp14:pctWidth>
            </wp14:sizeRelH>
            <wp14:sizeRelV relativeFrom="page">
              <wp14:pctHeight>0</wp14:pctHeight>
            </wp14:sizeRelV>
          </wp:anchor>
        </w:drawing>
      </w:r>
    </w:p>
    <w:p w14:paraId="1D200C82" w14:textId="0AA290B2" w:rsidR="00857A47" w:rsidRDefault="00857A47" w:rsidP="00857A47">
      <w:pPr>
        <w:jc w:val="center"/>
        <w:rPr>
          <w:rFonts w:ascii="Bookman Old Style" w:hAnsi="Bookman Old Style" w:cs="Arial"/>
          <w:bCs/>
        </w:rPr>
      </w:pPr>
      <w:r>
        <w:rPr>
          <w:noProof/>
          <w:bdr w:val="none" w:sz="0" w:space="0" w:color="auto" w:frame="1"/>
          <w:lang w:eastAsia="es-CO"/>
        </w:rPr>
        <w:t xml:space="preserve">                             </w:t>
      </w:r>
      <w:r w:rsidR="00397DCE">
        <w:rPr>
          <w:noProof/>
          <w:bdr w:val="none" w:sz="0" w:space="0" w:color="auto" w:frame="1"/>
          <w:lang w:eastAsia="es-CO"/>
        </w:rPr>
        <w:t xml:space="preserve">                                          </w:t>
      </w:r>
      <w:r>
        <w:rPr>
          <w:noProof/>
          <w:bdr w:val="none" w:sz="0" w:space="0" w:color="auto" w:frame="1"/>
          <w:lang w:eastAsia="es-CO"/>
        </w:rPr>
        <w:drawing>
          <wp:inline distT="0" distB="0" distL="0" distR="0" wp14:anchorId="2BC369AD" wp14:editId="38399647">
            <wp:extent cx="1714500" cy="66544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684" cy="707822"/>
                    </a:xfrm>
                    <a:prstGeom prst="rect">
                      <a:avLst/>
                    </a:prstGeom>
                    <a:noFill/>
                    <a:ln>
                      <a:noFill/>
                    </a:ln>
                  </pic:spPr>
                </pic:pic>
              </a:graphicData>
            </a:graphic>
          </wp:inline>
        </w:drawing>
      </w:r>
    </w:p>
    <w:p w14:paraId="718C9B8F" w14:textId="77777777" w:rsidR="00857A47" w:rsidRPr="00857A47" w:rsidRDefault="00857A47" w:rsidP="00857A47">
      <w:pPr>
        <w:jc w:val="both"/>
        <w:rPr>
          <w:rFonts w:ascii="Bookman Old Style" w:hAnsi="Bookman Old Style" w:cs="Arial"/>
          <w:b/>
          <w:bCs/>
        </w:rPr>
      </w:pPr>
      <w:r w:rsidRPr="00857A47">
        <w:rPr>
          <w:rFonts w:ascii="Bookman Old Style" w:hAnsi="Bookman Old Style" w:cs="Arial"/>
          <w:b/>
          <w:bCs/>
        </w:rPr>
        <w:t>JUAN CARLOS LOZADA VARGAS</w:t>
      </w:r>
      <w:r w:rsidRPr="00857A47">
        <w:rPr>
          <w:rFonts w:ascii="Bookman Old Style" w:hAnsi="Bookman Old Style" w:cs="Arial"/>
          <w:b/>
          <w:bCs/>
        </w:rPr>
        <w:tab/>
        <w:t xml:space="preserve">MARÍA JOSÉ PIZARRO RODRÍGUEZ </w:t>
      </w:r>
    </w:p>
    <w:p w14:paraId="3A38AFF7" w14:textId="77777777" w:rsidR="00857A47" w:rsidRPr="00857A47" w:rsidRDefault="00857A47" w:rsidP="00857A47">
      <w:pPr>
        <w:jc w:val="both"/>
        <w:rPr>
          <w:rFonts w:ascii="Bookman Old Style" w:hAnsi="Bookman Old Style" w:cs="Arial"/>
          <w:b/>
          <w:bCs/>
        </w:rPr>
      </w:pPr>
      <w:r w:rsidRPr="00857A47">
        <w:rPr>
          <w:rFonts w:ascii="Bookman Old Style" w:hAnsi="Bookman Old Style" w:cs="Arial"/>
          <w:b/>
          <w:bCs/>
        </w:rPr>
        <w:t>Representante a la Cámara</w:t>
      </w:r>
      <w:r w:rsidRPr="00857A47">
        <w:rPr>
          <w:rFonts w:ascii="Bookman Old Style" w:hAnsi="Bookman Old Style" w:cs="Arial"/>
          <w:b/>
          <w:bCs/>
        </w:rPr>
        <w:tab/>
      </w:r>
      <w:r w:rsidRPr="00857A47">
        <w:rPr>
          <w:rFonts w:ascii="Bookman Old Style" w:hAnsi="Bookman Old Style" w:cs="Arial"/>
          <w:b/>
          <w:bCs/>
        </w:rPr>
        <w:tab/>
        <w:t xml:space="preserve">Senadora de la República </w:t>
      </w:r>
    </w:p>
    <w:p w14:paraId="0DC8CEF6" w14:textId="77777777" w:rsidR="00D91748" w:rsidRPr="00D91748" w:rsidRDefault="00D91748" w:rsidP="00D91748">
      <w:pPr>
        <w:rPr>
          <w:rFonts w:ascii="Bookman Old Style" w:hAnsi="Bookman Old Style"/>
        </w:rPr>
      </w:pPr>
    </w:p>
    <w:sectPr w:rsidR="00D91748" w:rsidRPr="00D91748" w:rsidSect="00857A4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683A" w14:textId="77777777" w:rsidR="00070692" w:rsidRDefault="00070692" w:rsidP="00D91748">
      <w:pPr>
        <w:spacing w:after="0" w:line="240" w:lineRule="auto"/>
      </w:pPr>
      <w:r>
        <w:separator/>
      </w:r>
    </w:p>
  </w:endnote>
  <w:endnote w:type="continuationSeparator" w:id="0">
    <w:p w14:paraId="70EC4A23" w14:textId="77777777" w:rsidR="00070692" w:rsidRDefault="00070692" w:rsidP="00D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FC67" w14:textId="77777777" w:rsidR="00070692" w:rsidRDefault="00070692" w:rsidP="00D91748">
      <w:pPr>
        <w:spacing w:after="0" w:line="240" w:lineRule="auto"/>
      </w:pPr>
      <w:r>
        <w:separator/>
      </w:r>
    </w:p>
  </w:footnote>
  <w:footnote w:type="continuationSeparator" w:id="0">
    <w:p w14:paraId="4A143B31" w14:textId="77777777" w:rsidR="00070692" w:rsidRDefault="00070692" w:rsidP="00D91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A805" w14:textId="77777777" w:rsidR="00D91748" w:rsidRPr="00295256" w:rsidRDefault="00D91748" w:rsidP="00D91748">
    <w:pPr>
      <w:pStyle w:val="Encabezado"/>
      <w:jc w:val="right"/>
      <w:rPr>
        <w:rFonts w:ascii="Bookman Old Style" w:hAnsi="Bookman Old Style"/>
        <w:color w:val="000000" w:themeColor="text1"/>
        <w:lang w:val="es-MX"/>
      </w:rPr>
    </w:pPr>
    <w:r w:rsidRPr="00295256">
      <w:rPr>
        <w:rFonts w:ascii="Bookman Old Style" w:hAnsi="Bookman Old Style"/>
        <w:color w:val="000000" w:themeColor="text1"/>
        <w:lang w:val="es-MX"/>
      </w:rPr>
      <w:t>12 DE DICIEMBRE DE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08"/>
    <w:rsid w:val="00070692"/>
    <w:rsid w:val="00092976"/>
    <w:rsid w:val="0016194D"/>
    <w:rsid w:val="001E191E"/>
    <w:rsid w:val="00295256"/>
    <w:rsid w:val="00397DCE"/>
    <w:rsid w:val="006738F0"/>
    <w:rsid w:val="007B558F"/>
    <w:rsid w:val="00802DAD"/>
    <w:rsid w:val="00857A47"/>
    <w:rsid w:val="008A1708"/>
    <w:rsid w:val="009C23DD"/>
    <w:rsid w:val="00BB17DD"/>
    <w:rsid w:val="00BF791A"/>
    <w:rsid w:val="00D91748"/>
    <w:rsid w:val="00DC5B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1887"/>
  <w15:chartTrackingRefBased/>
  <w15:docId w15:val="{CB2BC098-ABE7-45D8-B3B7-098AEA8C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8A170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8A170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6738F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D917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1748"/>
  </w:style>
  <w:style w:type="paragraph" w:styleId="Piedepgina">
    <w:name w:val="footer"/>
    <w:basedOn w:val="Normal"/>
    <w:link w:val="PiedepginaCar"/>
    <w:uiPriority w:val="99"/>
    <w:unhideWhenUsed/>
    <w:rsid w:val="00D917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3528</Words>
  <Characters>19407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Felipe  Arrieta Betancourt UTL</dc:creator>
  <cp:keywords/>
  <dc:description/>
  <cp:lastModifiedBy>Hasbleidy Suarez Sanchez</cp:lastModifiedBy>
  <cp:revision>2</cp:revision>
  <dcterms:created xsi:type="dcterms:W3CDTF">2022-12-13T01:19:00Z</dcterms:created>
  <dcterms:modified xsi:type="dcterms:W3CDTF">2022-12-13T01:19:00Z</dcterms:modified>
</cp:coreProperties>
</file>